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2" w:rsidRPr="00FF3C52" w:rsidRDefault="00FF3C52">
      <w:pPr>
        <w:rPr>
          <w:b/>
          <w:sz w:val="28"/>
          <w:szCs w:val="28"/>
        </w:rPr>
      </w:pPr>
      <w:bookmarkStart w:id="0" w:name="_GoBack"/>
      <w:bookmarkEnd w:id="0"/>
      <w:r w:rsidRPr="00FF3C52">
        <w:rPr>
          <w:b/>
          <w:noProof/>
          <w:color w:val="9BBB59" w:themeColor="accent3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EF8F00D" wp14:editId="4F1DDD77">
            <wp:simplePos x="0" y="0"/>
            <wp:positionH relativeFrom="column">
              <wp:posOffset>3476625</wp:posOffset>
            </wp:positionH>
            <wp:positionV relativeFrom="paragraph">
              <wp:posOffset>-391160</wp:posOffset>
            </wp:positionV>
            <wp:extent cx="1295400" cy="1095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ertation__compressé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3"/>
                    <a:stretch/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C52">
        <w:rPr>
          <w:b/>
          <w:sz w:val="28"/>
          <w:szCs w:val="28"/>
        </w:rPr>
        <w:t xml:space="preserve">FICHE DE SUIVI </w:t>
      </w:r>
      <w:r w:rsidR="00F83E93">
        <w:rPr>
          <w:b/>
          <w:sz w:val="28"/>
          <w:szCs w:val="28"/>
        </w:rPr>
        <w:t>-</w:t>
      </w:r>
      <w:r w:rsidR="003C4506">
        <w:rPr>
          <w:b/>
          <w:sz w:val="28"/>
          <w:szCs w:val="28"/>
        </w:rPr>
        <w:t>8 octobre</w:t>
      </w:r>
      <w:r w:rsidR="00F83E93">
        <w:rPr>
          <w:b/>
          <w:sz w:val="28"/>
          <w:szCs w:val="28"/>
        </w:rPr>
        <w:t xml:space="preserve"> 2019</w:t>
      </w:r>
    </w:p>
    <w:p w:rsidR="00FF3C52" w:rsidRDefault="00FF3C52" w:rsidP="00FF3C52"/>
    <w:p w:rsidR="00FF3C52" w:rsidRDefault="00FF3C52" w:rsidP="00FF3C52">
      <w:r w:rsidRPr="00FF3C52">
        <w:rPr>
          <w:b/>
        </w:rPr>
        <w:t>COMITÉ THÉMATIQUE SAINE ALIMENTATION POUR TOUS ET PROMOTION DE LA CONSOMMATION DE L’EAU</w:t>
      </w:r>
      <w:r>
        <w:t xml:space="preserve"> ______________________________________________________________________________________________________________________  </w:t>
      </w:r>
    </w:p>
    <w:p w:rsidR="00ED232A" w:rsidRPr="00522453" w:rsidRDefault="00FF3C52" w:rsidP="00ED232A">
      <w:pPr>
        <w:spacing w:after="0"/>
        <w:rPr>
          <w:b/>
        </w:rPr>
      </w:pPr>
      <w:r w:rsidRPr="00522453">
        <w:rPr>
          <w:b/>
        </w:rPr>
        <w:t>Membres présents :</w:t>
      </w:r>
    </w:p>
    <w:p w:rsidR="00ED232A" w:rsidRDefault="003C4506" w:rsidP="00ED232A">
      <w:pPr>
        <w:spacing w:after="0"/>
      </w:pPr>
      <w:r>
        <w:t>Geneviève Van de Walle</w:t>
      </w:r>
      <w:r w:rsidR="00ED232A">
        <w:t>-</w:t>
      </w:r>
      <w:r w:rsidR="00FF3C52">
        <w:t xml:space="preserve">TCFDSO </w:t>
      </w:r>
      <w:r w:rsidR="00ED232A">
        <w:tab/>
      </w:r>
      <w:r>
        <w:tab/>
      </w:r>
      <w:r w:rsidR="00ED232A">
        <w:t>Corine Jacob-</w:t>
      </w:r>
      <w:r w:rsidR="00FF3C52">
        <w:t xml:space="preserve">TAO </w:t>
      </w:r>
      <w:r w:rsidR="00ED232A">
        <w:tab/>
      </w:r>
      <w:r w:rsidR="00ED232A">
        <w:tab/>
      </w:r>
      <w:r w:rsidR="007A44F6">
        <w:tab/>
      </w:r>
      <w:r w:rsidR="007A44F6">
        <w:tab/>
      </w:r>
      <w:r w:rsidR="00ED232A">
        <w:t>Geneviève Carrier-</w:t>
      </w:r>
      <w:r w:rsidR="00FF3C52">
        <w:t>Enviro Éduc-Action</w:t>
      </w:r>
    </w:p>
    <w:p w:rsidR="003C4506" w:rsidRDefault="003C4506" w:rsidP="00ED232A">
      <w:pPr>
        <w:spacing w:after="0"/>
      </w:pPr>
      <w:r>
        <w:t>Annie Scantland-CGo</w:t>
      </w:r>
      <w:r>
        <w:tab/>
      </w:r>
      <w:r>
        <w:tab/>
      </w:r>
      <w:r>
        <w:tab/>
      </w:r>
      <w:r>
        <w:tab/>
        <w:t>Aïssata Moussa Abba-DSPU</w:t>
      </w:r>
      <w:r>
        <w:tab/>
      </w:r>
      <w:r w:rsidR="007A44F6">
        <w:tab/>
      </w:r>
      <w:r w:rsidR="007A44F6">
        <w:tab/>
      </w:r>
      <w:r>
        <w:t>Lisa Lagacé et Sylvie Trudel –PSA</w:t>
      </w:r>
    </w:p>
    <w:p w:rsidR="003C4506" w:rsidRDefault="003C4506" w:rsidP="00ED232A">
      <w:pPr>
        <w:spacing w:after="0"/>
      </w:pPr>
      <w:r>
        <w:t>Stéphanie Dicaire-DSPU</w:t>
      </w:r>
      <w:r>
        <w:tab/>
      </w:r>
      <w:r>
        <w:tab/>
      </w:r>
      <w:r>
        <w:tab/>
        <w:t>Ismaila Koné-Hull en santé</w:t>
      </w:r>
      <w:r>
        <w:tab/>
      </w:r>
      <w:r w:rsidR="007A44F6">
        <w:tab/>
      </w:r>
      <w:r w:rsidR="007A44F6">
        <w:tab/>
      </w:r>
      <w:r>
        <w:t>Julie Vallon-Ville de Gatineau</w:t>
      </w:r>
    </w:p>
    <w:p w:rsidR="003C4506" w:rsidRDefault="003C4506" w:rsidP="00ED232A">
      <w:pPr>
        <w:spacing w:after="0"/>
      </w:pPr>
      <w:r>
        <w:t>Josée Charlebois- DSPU</w:t>
      </w:r>
      <w:r>
        <w:tab/>
      </w:r>
      <w:r>
        <w:tab/>
      </w:r>
      <w:r>
        <w:tab/>
      </w:r>
      <w:r>
        <w:tab/>
        <w:t xml:space="preserve">Marie Danielle Michaud-Coordonnatrice </w:t>
      </w:r>
      <w:r w:rsidR="007A44F6">
        <w:tab/>
        <w:t>Michaël Daudelin, MMG</w:t>
      </w:r>
    </w:p>
    <w:p w:rsidR="007A44F6" w:rsidRDefault="007A44F6" w:rsidP="00ED232A">
      <w:pPr>
        <w:spacing w:after="0"/>
      </w:pPr>
      <w:r>
        <w:t xml:space="preserve">Gille Delaunais-DSPU  </w:t>
      </w:r>
    </w:p>
    <w:p w:rsidR="003C4506" w:rsidRDefault="003C4506" w:rsidP="00ED232A">
      <w:pPr>
        <w:spacing w:after="0"/>
      </w:pPr>
    </w:p>
    <w:p w:rsidR="003C4506" w:rsidRPr="00522453" w:rsidRDefault="003C4506" w:rsidP="00ED232A">
      <w:pPr>
        <w:spacing w:after="0"/>
        <w:rPr>
          <w:b/>
        </w:rPr>
      </w:pPr>
      <w:r w:rsidRPr="00522453">
        <w:rPr>
          <w:b/>
        </w:rPr>
        <w:t>Membres absents :</w:t>
      </w:r>
    </w:p>
    <w:p w:rsidR="00ED232A" w:rsidRDefault="00ED232A" w:rsidP="00522453">
      <w:pPr>
        <w:spacing w:after="240"/>
      </w:pPr>
      <w:r>
        <w:t>Michel Vallières-</w:t>
      </w:r>
      <w:r w:rsidR="00FF3C52">
        <w:t>TDS Pontiac</w:t>
      </w:r>
      <w:r>
        <w:t xml:space="preserve"> </w:t>
      </w:r>
      <w:r>
        <w:tab/>
      </w:r>
      <w:r w:rsidR="003C4506">
        <w:tab/>
      </w:r>
      <w:r w:rsidR="003C4506">
        <w:tab/>
        <w:t>Daniel Charbonneau-MAPAQ</w:t>
      </w:r>
      <w:r>
        <w:tab/>
      </w:r>
      <w:r w:rsidR="007A44F6">
        <w:tab/>
      </w:r>
      <w:r w:rsidR="007A44F6">
        <w:tab/>
      </w:r>
      <w:r w:rsidR="007A44F6" w:rsidRPr="007A44F6">
        <w:t>Geneviève Michon-Ville de Gatineau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5240"/>
        <w:gridCol w:w="5103"/>
        <w:gridCol w:w="1701"/>
        <w:gridCol w:w="1418"/>
      </w:tblGrid>
      <w:tr w:rsidR="00CB6833" w:rsidRPr="00E22BC6" w:rsidTr="00731D32">
        <w:trPr>
          <w:tblHeader/>
        </w:trPr>
        <w:tc>
          <w:tcPr>
            <w:tcW w:w="5240" w:type="dxa"/>
            <w:shd w:val="clear" w:color="auto" w:fill="C2D69B" w:themeFill="accent3" w:themeFillTint="99"/>
          </w:tcPr>
          <w:p w:rsidR="00FF3C52" w:rsidRPr="00E22BC6" w:rsidRDefault="00FF3C52" w:rsidP="00731D32">
            <w:pPr>
              <w:spacing w:after="120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Discussion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FF3C52" w:rsidRPr="00E22BC6" w:rsidRDefault="00FF3C52" w:rsidP="00731D32">
            <w:pPr>
              <w:spacing w:after="120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Action</w:t>
            </w:r>
            <w:r>
              <w:rPr>
                <w:b/>
                <w:sz w:val="24"/>
              </w:rPr>
              <w:t>/</w:t>
            </w:r>
            <w:r w:rsidRPr="00E22BC6">
              <w:rPr>
                <w:b/>
                <w:sz w:val="24"/>
              </w:rPr>
              <w:t>Suivi à faire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F3C52" w:rsidRPr="00E22BC6" w:rsidRDefault="00FF3C52" w:rsidP="00731D32">
            <w:pPr>
              <w:spacing w:after="120"/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Responsable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F3C52" w:rsidRPr="00E22BC6" w:rsidRDefault="00FF3C52" w:rsidP="00731D32">
            <w:pPr>
              <w:spacing w:after="120"/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Échéancier</w:t>
            </w:r>
          </w:p>
        </w:tc>
      </w:tr>
      <w:tr w:rsidR="00A64DDB" w:rsidTr="00731D32">
        <w:trPr>
          <w:trHeight w:val="794"/>
        </w:trPr>
        <w:tc>
          <w:tcPr>
            <w:tcW w:w="5240" w:type="dxa"/>
          </w:tcPr>
          <w:p w:rsidR="00A64DDB" w:rsidRDefault="003C4506" w:rsidP="00EE5FD5">
            <w:pPr>
              <w:pStyle w:val="Paragraphedeliste"/>
              <w:numPr>
                <w:ilvl w:val="0"/>
                <w:numId w:val="5"/>
              </w:numPr>
              <w:spacing w:before="120"/>
              <w:ind w:left="313" w:hanging="284"/>
              <w:rPr>
                <w:b/>
              </w:rPr>
            </w:pPr>
            <w:r>
              <w:rPr>
                <w:b/>
              </w:rPr>
              <w:t>Mot de bienvenue/introduction</w:t>
            </w:r>
          </w:p>
          <w:p w:rsidR="001B0E55" w:rsidRDefault="001B0E55" w:rsidP="001B0E55">
            <w:pPr>
              <w:pStyle w:val="Paragraphedeliste"/>
              <w:ind w:left="313"/>
            </w:pPr>
            <w:r>
              <w:t xml:space="preserve">Un mot d’accueil est fait et les partenaires se présentent. </w:t>
            </w:r>
          </w:p>
          <w:p w:rsidR="003C4506" w:rsidRPr="001B0E55" w:rsidRDefault="003C4506" w:rsidP="00EE5FD5">
            <w:pPr>
              <w:pStyle w:val="Paragraphedeliste"/>
              <w:spacing w:after="120"/>
              <w:ind w:left="313"/>
            </w:pPr>
            <w:r w:rsidRPr="001B0E55">
              <w:t>L’ordre du jour est adopté tel que présenté.</w:t>
            </w:r>
          </w:p>
        </w:tc>
        <w:tc>
          <w:tcPr>
            <w:tcW w:w="5103" w:type="dxa"/>
          </w:tcPr>
          <w:p w:rsidR="00A64DDB" w:rsidRDefault="00A64DDB" w:rsidP="00EE5FD5">
            <w:pPr>
              <w:spacing w:before="120"/>
            </w:pPr>
          </w:p>
        </w:tc>
        <w:tc>
          <w:tcPr>
            <w:tcW w:w="1701" w:type="dxa"/>
          </w:tcPr>
          <w:p w:rsidR="00A64DDB" w:rsidRDefault="00A64DDB" w:rsidP="00EE5FD5">
            <w:pPr>
              <w:spacing w:before="120"/>
            </w:pPr>
          </w:p>
        </w:tc>
        <w:tc>
          <w:tcPr>
            <w:tcW w:w="1418" w:type="dxa"/>
          </w:tcPr>
          <w:p w:rsidR="00A64DDB" w:rsidRDefault="00A64DDB" w:rsidP="00EE5FD5">
            <w:pPr>
              <w:spacing w:before="120"/>
            </w:pPr>
          </w:p>
        </w:tc>
      </w:tr>
      <w:tr w:rsidR="00522453" w:rsidTr="0031760F">
        <w:trPr>
          <w:trHeight w:val="1544"/>
        </w:trPr>
        <w:tc>
          <w:tcPr>
            <w:tcW w:w="5240" w:type="dxa"/>
            <w:tcBorders>
              <w:bottom w:val="nil"/>
            </w:tcBorders>
          </w:tcPr>
          <w:p w:rsidR="00AB0B77" w:rsidRDefault="00522453" w:rsidP="00AB0B77">
            <w:pPr>
              <w:pStyle w:val="Paragraphedeliste"/>
              <w:numPr>
                <w:ilvl w:val="0"/>
                <w:numId w:val="5"/>
              </w:numPr>
              <w:spacing w:before="120"/>
              <w:ind w:left="313" w:hanging="284"/>
              <w:rPr>
                <w:b/>
                <w:bCs/>
              </w:rPr>
            </w:pPr>
            <w:r w:rsidRPr="003C4506">
              <w:rPr>
                <w:b/>
                <w:bCs/>
              </w:rPr>
              <w:t>Mise en œuvre du plan d’action-</w:t>
            </w:r>
          </w:p>
          <w:p w:rsidR="00522453" w:rsidRPr="003C4506" w:rsidRDefault="00522453" w:rsidP="00AB0B77">
            <w:pPr>
              <w:pStyle w:val="Paragraphedeliste"/>
              <w:spacing w:before="120"/>
              <w:ind w:left="313"/>
              <w:rPr>
                <w:b/>
                <w:bCs/>
              </w:rPr>
            </w:pPr>
            <w:r w:rsidRPr="003C4506">
              <w:rPr>
                <w:b/>
                <w:bCs/>
              </w:rPr>
              <w:t>(</w:t>
            </w:r>
            <w:r w:rsidRPr="003C4506">
              <w:t>Actions 3.1.1 et 3.1.2)</w:t>
            </w:r>
          </w:p>
          <w:p w:rsidR="00522453" w:rsidRPr="003C4506" w:rsidRDefault="00522453" w:rsidP="007A44F6">
            <w:pPr>
              <w:pStyle w:val="Paragraphedeliste"/>
              <w:numPr>
                <w:ilvl w:val="0"/>
                <w:numId w:val="8"/>
              </w:numPr>
              <w:ind w:left="596" w:hanging="283"/>
            </w:pPr>
            <w:r w:rsidRPr="003C4506">
              <w:t>Mobilisation et soutien pour l’élaboration de la vision du système alimentaire durable (SAD)</w:t>
            </w:r>
          </w:p>
          <w:p w:rsidR="00076C28" w:rsidRDefault="00076C28" w:rsidP="00A52CAF">
            <w:pPr>
              <w:pStyle w:val="Paragraphedeliste"/>
              <w:tabs>
                <w:tab w:val="left" w:pos="1750"/>
              </w:tabs>
              <w:spacing w:after="120"/>
              <w:ind w:left="596"/>
            </w:pPr>
          </w:p>
          <w:p w:rsidR="00076C28" w:rsidRDefault="00076C28" w:rsidP="00076C28">
            <w:pPr>
              <w:pStyle w:val="Paragraphedeliste"/>
              <w:numPr>
                <w:ilvl w:val="0"/>
                <w:numId w:val="8"/>
              </w:numPr>
              <w:spacing w:before="120"/>
              <w:ind w:left="596" w:hanging="283"/>
            </w:pPr>
            <w:r>
              <w:t>Embaucher une ressource pour appuyer les TDS dans l’élaboration des portraits en lien avec un SAD.</w:t>
            </w:r>
          </w:p>
          <w:p w:rsidR="00076C28" w:rsidRDefault="00076C28" w:rsidP="00076C28">
            <w:pPr>
              <w:pStyle w:val="Paragraphedeliste"/>
              <w:numPr>
                <w:ilvl w:val="0"/>
                <w:numId w:val="8"/>
              </w:numPr>
              <w:spacing w:before="120"/>
              <w:ind w:left="596" w:hanging="284"/>
            </w:pPr>
            <w:r>
              <w:t xml:space="preserve">Mandat de s’approprier la vision du SAD et les outils-trousse portrait développés par VEV pour </w:t>
            </w:r>
            <w:r>
              <w:lastRenderedPageBreak/>
              <w:t>réaliser ce travail; recenser les données déjà existantes; compléter les données manquantes;</w:t>
            </w:r>
          </w:p>
          <w:p w:rsidR="00076C28" w:rsidRDefault="00076C28" w:rsidP="00076C28">
            <w:pPr>
              <w:pStyle w:val="Paragraphedeliste"/>
              <w:numPr>
                <w:ilvl w:val="0"/>
                <w:numId w:val="8"/>
              </w:numPr>
              <w:spacing w:before="120"/>
              <w:ind w:left="596" w:hanging="283"/>
            </w:pPr>
            <w:r>
              <w:t>Établir des portraits territoriaux qui constitueront le portrait régional;</w:t>
            </w:r>
          </w:p>
          <w:p w:rsidR="00A52CAF" w:rsidRPr="00EE5FD5" w:rsidRDefault="0031760F" w:rsidP="0031760F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596" w:hanging="283"/>
              <w:rPr>
                <w:rFonts w:asciiTheme="majorHAnsi" w:hAnsiTheme="majorHAnsi"/>
                <w:bCs/>
              </w:rPr>
            </w:pPr>
            <w:r>
              <w:t>Les</w:t>
            </w:r>
            <w:r w:rsidR="00076C28">
              <w:t xml:space="preserve"> territoires ont déjà nommé ce besoin</w:t>
            </w:r>
            <w:r>
              <w:t>.</w:t>
            </w:r>
            <w:r w:rsidR="00076C28">
              <w:t xml:space="preserve"> </w:t>
            </w:r>
          </w:p>
        </w:tc>
        <w:tc>
          <w:tcPr>
            <w:tcW w:w="5103" w:type="dxa"/>
            <w:tcBorders>
              <w:bottom w:val="nil"/>
            </w:tcBorders>
          </w:tcPr>
          <w:p w:rsidR="00522453" w:rsidRDefault="00522453" w:rsidP="001C26CE">
            <w:pPr>
              <w:pStyle w:val="Paragraphedeliste"/>
              <w:numPr>
                <w:ilvl w:val="0"/>
                <w:numId w:val="8"/>
              </w:numPr>
              <w:spacing w:before="120"/>
              <w:ind w:left="182" w:hanging="182"/>
            </w:pPr>
            <w:r>
              <w:lastRenderedPageBreak/>
              <w:t>Il est proposé de refaire la présentation</w:t>
            </w:r>
            <w:r w:rsidR="00AB0B77">
              <w:t xml:space="preserve"> du SAD</w:t>
            </w:r>
            <w:r w:rsidR="00BC1377">
              <w:t xml:space="preserve"> </w:t>
            </w:r>
            <w:r>
              <w:t xml:space="preserve">lors de la rencontre </w:t>
            </w:r>
            <w:r w:rsidR="00B64BC5">
              <w:t>de la Concertation le</w:t>
            </w:r>
            <w:r>
              <w:t xml:space="preserve"> 5 déc</w:t>
            </w:r>
            <w:r w:rsidR="00076C28">
              <w:t xml:space="preserve">. </w:t>
            </w:r>
            <w:r>
              <w:t>Prévoir des exemples concrets lors de la présentation</w:t>
            </w:r>
            <w:r w:rsidR="00076C28">
              <w:t>.</w:t>
            </w:r>
          </w:p>
          <w:p w:rsidR="00BC1377" w:rsidRDefault="00BC1377" w:rsidP="00BC1377">
            <w:pPr>
              <w:pStyle w:val="Paragraphedeliste"/>
              <w:spacing w:before="120"/>
              <w:ind w:left="172"/>
            </w:pPr>
          </w:p>
          <w:p w:rsidR="00BC1377" w:rsidRDefault="00BC1377" w:rsidP="00BC1377">
            <w:pPr>
              <w:pStyle w:val="Paragraphedeliste"/>
              <w:spacing w:before="120"/>
              <w:ind w:left="172"/>
            </w:pPr>
          </w:p>
          <w:p w:rsidR="00522453" w:rsidRDefault="00522453" w:rsidP="00FF2638">
            <w:pPr>
              <w:pStyle w:val="Paragraphedeliste"/>
              <w:numPr>
                <w:ilvl w:val="0"/>
                <w:numId w:val="8"/>
              </w:numPr>
              <w:spacing w:before="120"/>
              <w:ind w:left="172" w:hanging="172"/>
            </w:pPr>
            <w:r>
              <w:t xml:space="preserve">Création d’un </w:t>
            </w:r>
            <w:r w:rsidR="000908AA">
              <w:t>groupe de travail</w:t>
            </w:r>
            <w:r>
              <w:t xml:space="preserve"> composé de la TAO, la TCFDSO</w:t>
            </w:r>
            <w:r w:rsidR="00FB0019">
              <w:t xml:space="preserve">, </w:t>
            </w:r>
            <w:r>
              <w:t>et la DSPU</w:t>
            </w:r>
            <w:r w:rsidR="00FB0019">
              <w:t>, en collaboration avec la ville de Gatineau</w:t>
            </w:r>
            <w:r>
              <w:t xml:space="preserve"> pour assurer ce suivi :</w:t>
            </w:r>
          </w:p>
          <w:p w:rsidR="00522453" w:rsidRDefault="00522453" w:rsidP="0067098D">
            <w:pPr>
              <w:pStyle w:val="Paragraphedeliste"/>
              <w:numPr>
                <w:ilvl w:val="0"/>
                <w:numId w:val="8"/>
              </w:numPr>
              <w:spacing w:before="120"/>
              <w:ind w:left="1022" w:hanging="283"/>
            </w:pPr>
            <w:r>
              <w:t>Contacter les territoires pour les informer de cette démarche et connaître leurs besoins et intérêts</w:t>
            </w:r>
            <w:r w:rsidR="00BC1377">
              <w:t>;</w:t>
            </w:r>
          </w:p>
          <w:p w:rsidR="00522453" w:rsidRDefault="00522453" w:rsidP="0067098D">
            <w:pPr>
              <w:pStyle w:val="Paragraphedeliste"/>
              <w:numPr>
                <w:ilvl w:val="0"/>
                <w:numId w:val="8"/>
              </w:numPr>
              <w:spacing w:before="120"/>
              <w:ind w:left="1022" w:hanging="283"/>
            </w:pPr>
            <w:r>
              <w:t>Réaliser l’offre d’emploi;</w:t>
            </w:r>
          </w:p>
          <w:p w:rsidR="00522453" w:rsidRDefault="00522453" w:rsidP="00076C28">
            <w:pPr>
              <w:pStyle w:val="Paragraphedeliste"/>
              <w:numPr>
                <w:ilvl w:val="0"/>
                <w:numId w:val="8"/>
              </w:numPr>
              <w:spacing w:before="120" w:after="240"/>
              <w:ind w:left="1022" w:hanging="283"/>
            </w:pPr>
            <w:r>
              <w:lastRenderedPageBreak/>
              <w:t xml:space="preserve">Budget </w:t>
            </w:r>
            <w:r w:rsidR="00076C28">
              <w:t xml:space="preserve">prévu au plan d’action </w:t>
            </w:r>
            <w:r>
              <w:t>20 000$</w:t>
            </w:r>
            <w:r w:rsidR="00BC1377">
              <w:t>.</w:t>
            </w:r>
          </w:p>
          <w:p w:rsidR="00BC1377" w:rsidRDefault="00BC1377" w:rsidP="00BC1377">
            <w:pPr>
              <w:spacing w:before="120" w:after="240"/>
            </w:pPr>
          </w:p>
          <w:p w:rsidR="00BC1377" w:rsidRDefault="00BC1377" w:rsidP="00522C8A">
            <w:pPr>
              <w:spacing w:before="120" w:after="240"/>
            </w:pPr>
          </w:p>
        </w:tc>
        <w:tc>
          <w:tcPr>
            <w:tcW w:w="1701" w:type="dxa"/>
            <w:tcBorders>
              <w:bottom w:val="nil"/>
            </w:tcBorders>
          </w:tcPr>
          <w:p w:rsidR="00522453" w:rsidRDefault="00B64BC5" w:rsidP="00076C28">
            <w:r>
              <w:lastRenderedPageBreak/>
              <w:t>Marie Danielle</w:t>
            </w:r>
          </w:p>
          <w:p w:rsidR="00B64BC5" w:rsidRDefault="00076C28" w:rsidP="00076C28">
            <w:r>
              <w:t>Josée</w:t>
            </w:r>
          </w:p>
          <w:p w:rsidR="00076C28" w:rsidRDefault="00076C28" w:rsidP="00076C28">
            <w:r>
              <w:t>Aïssata</w:t>
            </w:r>
          </w:p>
          <w:p w:rsidR="00076C28" w:rsidRDefault="00076C28" w:rsidP="00076C28"/>
          <w:p w:rsidR="00076C28" w:rsidRDefault="00076C28" w:rsidP="00076C28"/>
          <w:p w:rsidR="00076C28" w:rsidRDefault="000908AA" w:rsidP="00076C28">
            <w:r>
              <w:t>Marie Danielle</w:t>
            </w:r>
          </w:p>
          <w:p w:rsidR="000908AA" w:rsidRDefault="000908AA" w:rsidP="00076C28">
            <w:r>
              <w:t>Corine</w:t>
            </w:r>
            <w:r w:rsidR="001135AC">
              <w:t>,</w:t>
            </w:r>
            <w:r>
              <w:t xml:space="preserve"> Josée</w:t>
            </w:r>
            <w:r w:rsidR="00235430">
              <w:t>, Julie</w:t>
            </w:r>
            <w:r w:rsidR="001135AC">
              <w:t xml:space="preserve"> et Geneviève VdW</w:t>
            </w:r>
          </w:p>
          <w:p w:rsidR="00EB194A" w:rsidRDefault="00EB194A" w:rsidP="00EB194A"/>
          <w:p w:rsidR="00EB194A" w:rsidRDefault="00EB194A" w:rsidP="00EB194A"/>
        </w:tc>
        <w:tc>
          <w:tcPr>
            <w:tcW w:w="1418" w:type="dxa"/>
            <w:tcBorders>
              <w:bottom w:val="nil"/>
            </w:tcBorders>
          </w:tcPr>
          <w:p w:rsidR="00522453" w:rsidRDefault="00076C28" w:rsidP="00EE5FD5">
            <w:pPr>
              <w:spacing w:before="120"/>
            </w:pPr>
            <w:r>
              <w:t>5 décembre</w:t>
            </w:r>
            <w:r w:rsidR="006A2944">
              <w:t xml:space="preserve"> 2019</w:t>
            </w:r>
          </w:p>
          <w:p w:rsidR="000908AA" w:rsidRDefault="000908AA" w:rsidP="00EE5FD5">
            <w:pPr>
              <w:spacing w:before="120"/>
            </w:pPr>
          </w:p>
          <w:p w:rsidR="0038116C" w:rsidRDefault="0038116C" w:rsidP="00EE5FD5">
            <w:pPr>
              <w:spacing w:before="120"/>
            </w:pPr>
          </w:p>
          <w:p w:rsidR="000908AA" w:rsidRDefault="000908AA" w:rsidP="00EE5FD5">
            <w:pPr>
              <w:spacing w:before="120"/>
            </w:pPr>
            <w:r>
              <w:t>Suivi co-leaders : 21 octobre</w:t>
            </w:r>
          </w:p>
          <w:p w:rsidR="000908AA" w:rsidRDefault="000908AA" w:rsidP="00235430">
            <w:pPr>
              <w:spacing w:before="120"/>
            </w:pPr>
            <w:r>
              <w:t xml:space="preserve">Recrutement ressource : </w:t>
            </w:r>
            <w:r>
              <w:lastRenderedPageBreak/>
              <w:t>automne</w:t>
            </w:r>
            <w:r w:rsidR="006A2944">
              <w:t xml:space="preserve"> 2019</w:t>
            </w:r>
          </w:p>
        </w:tc>
      </w:tr>
      <w:tr w:rsidR="00522453" w:rsidTr="00731D32">
        <w:trPr>
          <w:trHeight w:val="1827"/>
        </w:trPr>
        <w:tc>
          <w:tcPr>
            <w:tcW w:w="5240" w:type="dxa"/>
            <w:tcBorders>
              <w:top w:val="nil"/>
            </w:tcBorders>
          </w:tcPr>
          <w:p w:rsidR="00522453" w:rsidRPr="001B0E55" w:rsidRDefault="00522453" w:rsidP="00522453">
            <w:pPr>
              <w:pStyle w:val="Paragraphedeliste"/>
              <w:numPr>
                <w:ilvl w:val="0"/>
                <w:numId w:val="8"/>
              </w:numPr>
              <w:ind w:left="589" w:hanging="283"/>
            </w:pPr>
            <w:r w:rsidRPr="003C4506">
              <w:lastRenderedPageBreak/>
              <w:t>Actions à prioriser</w:t>
            </w:r>
          </w:p>
        </w:tc>
        <w:tc>
          <w:tcPr>
            <w:tcW w:w="5103" w:type="dxa"/>
            <w:tcBorders>
              <w:top w:val="nil"/>
            </w:tcBorders>
          </w:tcPr>
          <w:p w:rsidR="00727034" w:rsidRDefault="00727034" w:rsidP="00522453">
            <w:pPr>
              <w:pStyle w:val="Paragraphedeliste"/>
              <w:numPr>
                <w:ilvl w:val="0"/>
                <w:numId w:val="8"/>
              </w:numPr>
              <w:spacing w:before="120"/>
              <w:ind w:left="182" w:hanging="182"/>
            </w:pPr>
            <w:r>
              <w:t>L’élaboration des portraits avec les territoires intéressés sera priorisée.</w:t>
            </w:r>
          </w:p>
          <w:p w:rsidR="00522453" w:rsidRDefault="00522453" w:rsidP="00522453">
            <w:pPr>
              <w:pStyle w:val="Paragraphedeliste"/>
              <w:numPr>
                <w:ilvl w:val="0"/>
                <w:numId w:val="8"/>
              </w:numPr>
              <w:spacing w:before="120"/>
              <w:ind w:left="182" w:hanging="182"/>
            </w:pPr>
            <w:r>
              <w:t>Proposition d’action</w:t>
            </w:r>
            <w:r w:rsidR="000908AA">
              <w:t> : Diffusion d’un pictogramme</w:t>
            </w:r>
            <w:r>
              <w:t> </w:t>
            </w:r>
            <w:r w:rsidR="000908AA">
              <w:t xml:space="preserve">pour annoncer </w:t>
            </w:r>
            <w:r>
              <w:t>« Ici on accepte de remplir votre bouteille d’eau »</w:t>
            </w:r>
            <w:r w:rsidR="000908AA">
              <w:t>.</w:t>
            </w:r>
          </w:p>
          <w:p w:rsidR="00522453" w:rsidRDefault="00522453" w:rsidP="00522453">
            <w:pPr>
              <w:pStyle w:val="Paragraphedeliste"/>
              <w:numPr>
                <w:ilvl w:val="0"/>
                <w:numId w:val="8"/>
              </w:numPr>
              <w:spacing w:before="120"/>
              <w:ind w:left="182" w:hanging="182"/>
            </w:pPr>
            <w:r>
              <w:t>Partenaires potentiels : municipalité</w:t>
            </w:r>
            <w:r w:rsidR="00235430">
              <w:t>s</w:t>
            </w:r>
            <w:r>
              <w:t>/TDS/Éc</w:t>
            </w:r>
            <w:r w:rsidR="000908AA">
              <w:t>oles/Chambre des commerces, etc; la ville de Gatineau a déjà cartographié les fontaines d’eau sur son territoire.</w:t>
            </w:r>
          </w:p>
          <w:p w:rsidR="00522453" w:rsidRDefault="00522453" w:rsidP="00630384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182" w:hanging="182"/>
            </w:pPr>
            <w:r>
              <w:t>Projet déjà existant dans d’autres région</w:t>
            </w:r>
            <w:r w:rsidR="00630384">
              <w:t>s</w:t>
            </w:r>
            <w:r>
              <w:t xml:space="preserve"> </w:t>
            </w:r>
            <w:hyperlink r:id="rId8" w:history="1">
              <w:r w:rsidRPr="00522453">
                <w:rPr>
                  <w:rStyle w:val="Lienhypertexte"/>
                </w:rPr>
                <w:t>#RemplisVert</w:t>
              </w:r>
            </w:hyperlink>
          </w:p>
        </w:tc>
        <w:tc>
          <w:tcPr>
            <w:tcW w:w="1701" w:type="dxa"/>
            <w:tcBorders>
              <w:top w:val="nil"/>
            </w:tcBorders>
          </w:tcPr>
          <w:p w:rsidR="00522453" w:rsidRDefault="00235430" w:rsidP="00EE5FD5">
            <w:pPr>
              <w:spacing w:before="120"/>
            </w:pPr>
            <w:r>
              <w:t>À déterminer en comité</w:t>
            </w:r>
          </w:p>
        </w:tc>
        <w:tc>
          <w:tcPr>
            <w:tcW w:w="1418" w:type="dxa"/>
            <w:tcBorders>
              <w:top w:val="nil"/>
            </w:tcBorders>
          </w:tcPr>
          <w:p w:rsidR="00522453" w:rsidRDefault="00522453" w:rsidP="00EE5FD5">
            <w:pPr>
              <w:spacing w:before="120"/>
            </w:pPr>
          </w:p>
        </w:tc>
      </w:tr>
      <w:tr w:rsidR="00CB6833" w:rsidTr="00731D32">
        <w:trPr>
          <w:trHeight w:val="126"/>
        </w:trPr>
        <w:tc>
          <w:tcPr>
            <w:tcW w:w="5240" w:type="dxa"/>
          </w:tcPr>
          <w:p w:rsidR="007A44F6" w:rsidRPr="007A44F6" w:rsidRDefault="007A44F6" w:rsidP="00EE5FD5">
            <w:pPr>
              <w:spacing w:before="120"/>
              <w:jc w:val="both"/>
              <w:rPr>
                <w:b/>
              </w:rPr>
            </w:pPr>
            <w:r w:rsidRPr="007A44F6">
              <w:rPr>
                <w:b/>
                <w:bCs/>
              </w:rPr>
              <w:t xml:space="preserve">3. </w:t>
            </w:r>
            <w:r w:rsidRPr="007A44F6">
              <w:rPr>
                <w:b/>
              </w:rPr>
              <w:t>Répartition du soutien financier de la mesure 3.1 du PAI de la PGPS-</w:t>
            </w:r>
          </w:p>
          <w:p w:rsidR="007A44F6" w:rsidRPr="007A44F6" w:rsidRDefault="007A44F6" w:rsidP="007A44F6">
            <w:pPr>
              <w:jc w:val="both"/>
            </w:pPr>
            <w:r w:rsidRPr="007A44F6">
              <w:rPr>
                <w:b/>
              </w:rPr>
              <w:t>(Actions 3.2.2 à 3.2.5)</w:t>
            </w:r>
            <w:r w:rsidRPr="007A44F6">
              <w:t xml:space="preserve"> </w:t>
            </w:r>
          </w:p>
          <w:p w:rsidR="007A44F6" w:rsidRPr="007A44F6" w:rsidRDefault="007A44F6" w:rsidP="007A44F6">
            <w:pPr>
              <w:numPr>
                <w:ilvl w:val="0"/>
                <w:numId w:val="9"/>
              </w:numPr>
              <w:ind w:left="738" w:hanging="425"/>
              <w:jc w:val="both"/>
            </w:pPr>
            <w:r w:rsidRPr="007A44F6">
              <w:t>Fiche de projets et critères</w:t>
            </w:r>
          </w:p>
          <w:p w:rsidR="007A44F6" w:rsidRPr="007A44F6" w:rsidRDefault="007A44F6" w:rsidP="007A44F6">
            <w:pPr>
              <w:numPr>
                <w:ilvl w:val="0"/>
                <w:numId w:val="9"/>
              </w:numPr>
              <w:ind w:left="738" w:hanging="425"/>
              <w:jc w:val="both"/>
            </w:pPr>
            <w:r w:rsidRPr="007A44F6">
              <w:t>Démarche de complémentarité avec la mesure 13.1 du PAGIÉPS</w:t>
            </w:r>
          </w:p>
          <w:p w:rsidR="00FF3C52" w:rsidRDefault="007A44F6" w:rsidP="00EE5FD5">
            <w:pPr>
              <w:numPr>
                <w:ilvl w:val="0"/>
                <w:numId w:val="9"/>
              </w:numPr>
              <w:spacing w:after="120"/>
              <w:ind w:left="738" w:hanging="425"/>
              <w:jc w:val="both"/>
            </w:pPr>
            <w:r w:rsidRPr="007A44F6">
              <w:t>Soutien pour la réalisation des portraits sur les territoires</w:t>
            </w:r>
          </w:p>
        </w:tc>
        <w:tc>
          <w:tcPr>
            <w:tcW w:w="5103" w:type="dxa"/>
          </w:tcPr>
          <w:p w:rsidR="00106B6D" w:rsidRDefault="00630384" w:rsidP="00731D32">
            <w:pPr>
              <w:pStyle w:val="Paragraphedeliste"/>
              <w:numPr>
                <w:ilvl w:val="0"/>
                <w:numId w:val="9"/>
              </w:numPr>
              <w:spacing w:before="120"/>
              <w:ind w:left="172" w:hanging="172"/>
            </w:pPr>
            <w:r>
              <w:t>Marie</w:t>
            </w:r>
            <w:r w:rsidR="004E242B">
              <w:t xml:space="preserve"> </w:t>
            </w:r>
            <w:r>
              <w:t>Danielle nous présente la proposition de fiche de projets pour le soutien financier de la mesure 3.1</w:t>
            </w:r>
            <w:r w:rsidR="000908AA">
              <w:t>.</w:t>
            </w:r>
          </w:p>
          <w:p w:rsidR="00630384" w:rsidRDefault="00630384" w:rsidP="00731D32">
            <w:pPr>
              <w:pStyle w:val="Paragraphedeliste"/>
              <w:numPr>
                <w:ilvl w:val="0"/>
                <w:numId w:val="9"/>
              </w:numPr>
              <w:spacing w:before="120"/>
              <w:ind w:left="172" w:hanging="172"/>
            </w:pPr>
            <w:r>
              <w:t>Des commentaires et suggestions ont été mentionnés par les partenaires</w:t>
            </w:r>
            <w:r w:rsidR="000908AA">
              <w:t>.</w:t>
            </w:r>
          </w:p>
          <w:p w:rsidR="00630384" w:rsidRDefault="00630384" w:rsidP="00731D32">
            <w:pPr>
              <w:pStyle w:val="Paragraphedeliste"/>
              <w:numPr>
                <w:ilvl w:val="0"/>
                <w:numId w:val="9"/>
              </w:numPr>
              <w:spacing w:before="120"/>
              <w:ind w:left="172" w:hanging="172"/>
            </w:pPr>
            <w:r>
              <w:t>Des modifications seront apportées au document</w:t>
            </w:r>
            <w:r w:rsidR="000908AA">
              <w:t>.</w:t>
            </w:r>
          </w:p>
          <w:p w:rsidR="00731D32" w:rsidRDefault="00731D32" w:rsidP="00731D32">
            <w:pPr>
              <w:pStyle w:val="Paragraphedeliste"/>
              <w:numPr>
                <w:ilvl w:val="0"/>
                <w:numId w:val="9"/>
              </w:numPr>
              <w:spacing w:before="120"/>
              <w:ind w:left="172" w:hanging="172"/>
            </w:pPr>
            <w:r>
              <w:t>Un comité d’analyse des projets doit être mis sur pied</w:t>
            </w:r>
            <w:r w:rsidR="000908AA">
              <w:t>; composition à déterminer.</w:t>
            </w:r>
          </w:p>
          <w:p w:rsidR="00731D32" w:rsidRDefault="00731D32" w:rsidP="00731D32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72" w:hanging="172"/>
            </w:pPr>
            <w:r>
              <w:t>Fin janvier 2020 est proposé comme date limite de dépôt pour l’appel de projet.  Ainsi, à la rencontre de février, une présentation des projets retenus pourrait être faite</w:t>
            </w:r>
            <w:r w:rsidR="00EB194A">
              <w:t>.</w:t>
            </w:r>
          </w:p>
          <w:p w:rsidR="00EB0D2A" w:rsidRDefault="00EB0D2A" w:rsidP="006A2944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172" w:hanging="172"/>
            </w:pPr>
            <w:r>
              <w:t>Il est aussi proposé de développer une offre de services pour les 3 organismes régionaux qui recevront un financement de la mesure 3.1 (TAO, TCFDSO et Enviro Éduc-Action)</w:t>
            </w:r>
            <w:r w:rsidR="00EB194A">
              <w:t>.</w:t>
            </w:r>
          </w:p>
        </w:tc>
        <w:tc>
          <w:tcPr>
            <w:tcW w:w="1701" w:type="dxa"/>
          </w:tcPr>
          <w:p w:rsidR="003964C4" w:rsidRDefault="003964C4" w:rsidP="00EE5FD5">
            <w:pPr>
              <w:spacing w:before="120"/>
              <w:jc w:val="both"/>
            </w:pPr>
          </w:p>
          <w:p w:rsidR="00EB194A" w:rsidRDefault="00EB194A" w:rsidP="00EE5FD5">
            <w:pPr>
              <w:spacing w:before="120"/>
              <w:jc w:val="both"/>
            </w:pPr>
          </w:p>
          <w:p w:rsidR="00EB194A" w:rsidRDefault="00EB194A" w:rsidP="00EE5FD5">
            <w:pPr>
              <w:spacing w:before="120"/>
              <w:jc w:val="both"/>
            </w:pPr>
          </w:p>
          <w:p w:rsidR="00EB194A" w:rsidRDefault="00EB194A" w:rsidP="00EE5FD5">
            <w:pPr>
              <w:spacing w:before="120"/>
              <w:jc w:val="both"/>
            </w:pPr>
            <w:r>
              <w:t>Marie Danielle</w:t>
            </w:r>
          </w:p>
          <w:p w:rsidR="00EB194A" w:rsidRDefault="00EB194A" w:rsidP="00EE5FD5">
            <w:pPr>
              <w:spacing w:before="120"/>
              <w:jc w:val="both"/>
            </w:pPr>
            <w:r>
              <w:t>Aïssata et Josée</w:t>
            </w:r>
          </w:p>
        </w:tc>
        <w:tc>
          <w:tcPr>
            <w:tcW w:w="1418" w:type="dxa"/>
          </w:tcPr>
          <w:p w:rsidR="003964C4" w:rsidRDefault="003964C4" w:rsidP="00EE5FD5">
            <w:pPr>
              <w:spacing w:before="120"/>
              <w:jc w:val="both"/>
            </w:pPr>
          </w:p>
          <w:p w:rsidR="006A2944" w:rsidRDefault="006A2944" w:rsidP="00EE5FD5">
            <w:pPr>
              <w:spacing w:before="120"/>
              <w:jc w:val="both"/>
            </w:pPr>
          </w:p>
          <w:p w:rsidR="006A2944" w:rsidRDefault="006A2944" w:rsidP="00EE5FD5">
            <w:pPr>
              <w:spacing w:before="120"/>
              <w:jc w:val="both"/>
            </w:pPr>
          </w:p>
          <w:p w:rsidR="006A2944" w:rsidRDefault="006A2944" w:rsidP="00EE5FD5">
            <w:pPr>
              <w:spacing w:before="120"/>
              <w:jc w:val="both"/>
            </w:pPr>
            <w:r>
              <w:t>Février 2020</w:t>
            </w:r>
          </w:p>
        </w:tc>
      </w:tr>
      <w:tr w:rsidR="00106B6D" w:rsidTr="00731D32">
        <w:trPr>
          <w:trHeight w:val="794"/>
        </w:trPr>
        <w:tc>
          <w:tcPr>
            <w:tcW w:w="5240" w:type="dxa"/>
          </w:tcPr>
          <w:p w:rsidR="007A44F6" w:rsidRPr="007A44F6" w:rsidRDefault="007A44F6" w:rsidP="00EE5FD5">
            <w:pPr>
              <w:spacing w:before="120"/>
              <w:jc w:val="both"/>
              <w:rPr>
                <w:b/>
              </w:rPr>
            </w:pPr>
            <w:r w:rsidRPr="007A44F6">
              <w:rPr>
                <w:b/>
                <w:bCs/>
              </w:rPr>
              <w:lastRenderedPageBreak/>
              <w:t xml:space="preserve">4. </w:t>
            </w:r>
            <w:r w:rsidRPr="007A44F6">
              <w:rPr>
                <w:b/>
              </w:rPr>
              <w:t>Appel à projets 100</w:t>
            </w:r>
            <w:r w:rsidRPr="007A44F6">
              <w:rPr>
                <w:b/>
              </w:rPr>
              <w:sym w:font="Symbol" w:char="F0B0"/>
            </w:r>
          </w:p>
          <w:p w:rsidR="007A44F6" w:rsidRDefault="007A44F6" w:rsidP="007A44F6">
            <w:pPr>
              <w:jc w:val="both"/>
            </w:pPr>
          </w:p>
        </w:tc>
        <w:tc>
          <w:tcPr>
            <w:tcW w:w="5103" w:type="dxa"/>
          </w:tcPr>
          <w:p w:rsidR="00106B6D" w:rsidRDefault="00685D74" w:rsidP="00AB0B77">
            <w:pPr>
              <w:spacing w:before="120"/>
              <w:jc w:val="both"/>
            </w:pPr>
            <w:hyperlink r:id="rId9" w:history="1">
              <w:r w:rsidR="00630384" w:rsidRPr="00630384">
                <w:rPr>
                  <w:rStyle w:val="Lienhypertexte"/>
                </w:rPr>
                <w:t>Cultiver l’avenir: cuisinons ensemble les aliments d’ici</w:t>
              </w:r>
            </w:hyperlink>
            <w:r w:rsidR="00630384">
              <w:t xml:space="preserve">  </w:t>
            </w:r>
            <w:r w:rsidR="00AB0B77">
              <w:t>La d</w:t>
            </w:r>
            <w:r w:rsidR="00630384">
              <w:t xml:space="preserve">ate limite </w:t>
            </w:r>
            <w:r w:rsidR="00AB0B77">
              <w:t>pour présenter un projet est le</w:t>
            </w:r>
            <w:r w:rsidR="00630384" w:rsidRPr="00630384">
              <w:t xml:space="preserve"> 22/11/2019</w:t>
            </w:r>
            <w:r w:rsidR="00AB0B77">
              <w:t>.</w:t>
            </w:r>
            <w:r w:rsidR="00235430">
              <w:t xml:space="preserve"> Rappel à faire aux partenaires.</w:t>
            </w:r>
          </w:p>
        </w:tc>
        <w:tc>
          <w:tcPr>
            <w:tcW w:w="1701" w:type="dxa"/>
          </w:tcPr>
          <w:p w:rsidR="00106B6D" w:rsidRDefault="00235430" w:rsidP="00EE5FD5">
            <w:pPr>
              <w:spacing w:before="120"/>
              <w:jc w:val="both"/>
            </w:pPr>
            <w:r>
              <w:t>Marie Danielle</w:t>
            </w:r>
          </w:p>
        </w:tc>
        <w:tc>
          <w:tcPr>
            <w:tcW w:w="1418" w:type="dxa"/>
          </w:tcPr>
          <w:p w:rsidR="00106B6D" w:rsidRDefault="00106B6D" w:rsidP="00EE5FD5">
            <w:pPr>
              <w:spacing w:before="120"/>
              <w:jc w:val="both"/>
            </w:pPr>
          </w:p>
        </w:tc>
      </w:tr>
      <w:tr w:rsidR="00CB6833" w:rsidTr="00731D32">
        <w:trPr>
          <w:trHeight w:val="794"/>
        </w:trPr>
        <w:tc>
          <w:tcPr>
            <w:tcW w:w="5240" w:type="dxa"/>
          </w:tcPr>
          <w:p w:rsidR="007A44F6" w:rsidRPr="007A44F6" w:rsidRDefault="007A44F6" w:rsidP="00EE5FD5">
            <w:pPr>
              <w:pStyle w:val="Paragraphedeliste"/>
              <w:spacing w:before="120"/>
              <w:ind w:left="360" w:hanging="331"/>
              <w:rPr>
                <w:lang w:val="fr-FR"/>
              </w:rPr>
            </w:pPr>
            <w:r w:rsidRPr="007A44F6">
              <w:rPr>
                <w:b/>
                <w:bCs/>
              </w:rPr>
              <w:t xml:space="preserve">5. </w:t>
            </w:r>
            <w:r w:rsidRPr="007A44F6">
              <w:rPr>
                <w:b/>
              </w:rPr>
              <w:t>Calendrier de rencontres</w:t>
            </w:r>
          </w:p>
          <w:p w:rsidR="007C4856" w:rsidRDefault="007C4856" w:rsidP="00794E71">
            <w:pPr>
              <w:jc w:val="both"/>
            </w:pPr>
          </w:p>
        </w:tc>
        <w:tc>
          <w:tcPr>
            <w:tcW w:w="5103" w:type="dxa"/>
          </w:tcPr>
          <w:p w:rsidR="00A2441D" w:rsidRDefault="000A7A70" w:rsidP="00EE5FD5">
            <w:pPr>
              <w:spacing w:before="120"/>
            </w:pPr>
            <w:r>
              <w:t xml:space="preserve">Un doodle sera acheminé </w:t>
            </w:r>
            <w:r w:rsidR="00683092">
              <w:t>pour fixer la date de la prochaine rencontre</w:t>
            </w:r>
            <w:r w:rsidR="00AB0B77">
              <w:t xml:space="preserve"> au mois de février lorsque l’analyse des projets en lien avec la mesure 3.1 aura été réalisée.</w:t>
            </w:r>
            <w:r w:rsidR="00683092">
              <w:t xml:space="preserve">  </w:t>
            </w:r>
          </w:p>
          <w:p w:rsidR="00D35DF9" w:rsidRDefault="00D35DF9" w:rsidP="00EE5FD5">
            <w:pPr>
              <w:spacing w:before="120"/>
            </w:pPr>
          </w:p>
        </w:tc>
        <w:tc>
          <w:tcPr>
            <w:tcW w:w="1701" w:type="dxa"/>
          </w:tcPr>
          <w:p w:rsidR="00A64DDB" w:rsidRDefault="001135AC" w:rsidP="00EE5FD5">
            <w:pPr>
              <w:spacing w:before="120"/>
              <w:jc w:val="both"/>
            </w:pPr>
            <w:r>
              <w:t>Josée</w:t>
            </w:r>
            <w:r w:rsidR="00235430">
              <w:t xml:space="preserve"> et Aïssata</w:t>
            </w:r>
          </w:p>
        </w:tc>
        <w:tc>
          <w:tcPr>
            <w:tcW w:w="1418" w:type="dxa"/>
          </w:tcPr>
          <w:p w:rsidR="00A64DDB" w:rsidRDefault="00A64DDB" w:rsidP="00EE5FD5">
            <w:pPr>
              <w:spacing w:before="120"/>
              <w:jc w:val="both"/>
            </w:pPr>
          </w:p>
        </w:tc>
      </w:tr>
      <w:tr w:rsidR="00CB6833" w:rsidTr="00727034">
        <w:trPr>
          <w:trHeight w:val="1333"/>
        </w:trPr>
        <w:tc>
          <w:tcPr>
            <w:tcW w:w="5240" w:type="dxa"/>
          </w:tcPr>
          <w:p w:rsidR="007A44F6" w:rsidRDefault="007A44F6" w:rsidP="00EB0D2A">
            <w:pPr>
              <w:pStyle w:val="Paragraphedeliste"/>
              <w:spacing w:before="120"/>
              <w:ind w:left="164" w:hanging="135"/>
              <w:rPr>
                <w:b/>
              </w:rPr>
            </w:pPr>
            <w:r w:rsidRPr="007A44F6">
              <w:rPr>
                <w:b/>
              </w:rPr>
              <w:t xml:space="preserve">6. Informations </w:t>
            </w:r>
            <w:r w:rsidR="00EB0D2A">
              <w:rPr>
                <w:b/>
              </w:rPr>
              <w:t xml:space="preserve">à partager avec les comités des </w:t>
            </w:r>
            <w:r w:rsidRPr="007A44F6">
              <w:rPr>
                <w:b/>
              </w:rPr>
              <w:t>milieux de vie</w:t>
            </w:r>
          </w:p>
          <w:p w:rsidR="00EB0D2A" w:rsidRPr="007A44F6" w:rsidRDefault="00EB0D2A" w:rsidP="00EB0D2A">
            <w:pPr>
              <w:pStyle w:val="Paragraphedeliste"/>
              <w:spacing w:before="120"/>
              <w:ind w:left="306" w:hanging="277"/>
              <w:rPr>
                <w:b/>
                <w:lang w:val="fr-FR"/>
              </w:rPr>
            </w:pPr>
          </w:p>
          <w:p w:rsidR="007A44F6" w:rsidRDefault="007A44F6" w:rsidP="00794E71">
            <w:pPr>
              <w:jc w:val="both"/>
            </w:pPr>
          </w:p>
          <w:p w:rsidR="007A44F6" w:rsidRDefault="007A44F6" w:rsidP="00794E71">
            <w:pPr>
              <w:jc w:val="both"/>
            </w:pPr>
          </w:p>
        </w:tc>
        <w:tc>
          <w:tcPr>
            <w:tcW w:w="5103" w:type="dxa"/>
          </w:tcPr>
          <w:p w:rsidR="00612630" w:rsidRDefault="00AB0B77" w:rsidP="00727034">
            <w:pPr>
              <w:spacing w:before="120"/>
            </w:pPr>
            <w:r>
              <w:t xml:space="preserve">Informer les comités milieux de vie de la mobilisation </w:t>
            </w:r>
            <w:r w:rsidR="00727034">
              <w:t>qui s’installe sur l</w:t>
            </w:r>
            <w:r>
              <w:t>es territoires pour</w:t>
            </w:r>
            <w:r w:rsidR="00727034">
              <w:t xml:space="preserve"> s’approprier la vision du Système alimentaire durable et établir le portrait des actions déjà en cours.</w:t>
            </w:r>
          </w:p>
        </w:tc>
        <w:tc>
          <w:tcPr>
            <w:tcW w:w="1701" w:type="dxa"/>
          </w:tcPr>
          <w:p w:rsidR="00FF3C52" w:rsidRDefault="001135AC" w:rsidP="00EE5FD5">
            <w:pPr>
              <w:spacing w:before="120"/>
              <w:jc w:val="both"/>
            </w:pPr>
            <w:r>
              <w:t>Josée</w:t>
            </w:r>
            <w:r w:rsidR="00235430">
              <w:t>, Aïssata</w:t>
            </w:r>
            <w:r>
              <w:t xml:space="preserve"> et Marie Danielle</w:t>
            </w:r>
          </w:p>
        </w:tc>
        <w:tc>
          <w:tcPr>
            <w:tcW w:w="1418" w:type="dxa"/>
          </w:tcPr>
          <w:p w:rsidR="00FF3C52" w:rsidRDefault="00FF3C52" w:rsidP="00EE5FD5">
            <w:pPr>
              <w:spacing w:before="120"/>
              <w:jc w:val="both"/>
            </w:pPr>
          </w:p>
        </w:tc>
      </w:tr>
      <w:tr w:rsidR="00F83E93" w:rsidTr="00235430">
        <w:trPr>
          <w:trHeight w:val="720"/>
        </w:trPr>
        <w:tc>
          <w:tcPr>
            <w:tcW w:w="5240" w:type="dxa"/>
          </w:tcPr>
          <w:p w:rsidR="00F83E93" w:rsidRDefault="007A44F6" w:rsidP="00235430">
            <w:pPr>
              <w:spacing w:before="120"/>
              <w:jc w:val="both"/>
            </w:pPr>
            <w:r w:rsidRPr="007A44F6">
              <w:rPr>
                <w:b/>
              </w:rPr>
              <w:t>7. Varia</w:t>
            </w:r>
          </w:p>
          <w:p w:rsidR="007A44F6" w:rsidRDefault="007A44F6" w:rsidP="00794E71">
            <w:pPr>
              <w:jc w:val="both"/>
            </w:pPr>
          </w:p>
        </w:tc>
        <w:tc>
          <w:tcPr>
            <w:tcW w:w="5103" w:type="dxa"/>
          </w:tcPr>
          <w:p w:rsidR="00F83E93" w:rsidRDefault="00727034" w:rsidP="00EE5FD5">
            <w:pPr>
              <w:spacing w:before="120"/>
              <w:jc w:val="both"/>
            </w:pPr>
            <w:r>
              <w:t>Aucun point ajouté au varia</w:t>
            </w:r>
          </w:p>
        </w:tc>
        <w:tc>
          <w:tcPr>
            <w:tcW w:w="1701" w:type="dxa"/>
          </w:tcPr>
          <w:p w:rsidR="00F83E93" w:rsidRDefault="00F83E93" w:rsidP="00EE5FD5">
            <w:pPr>
              <w:spacing w:before="120"/>
              <w:jc w:val="both"/>
            </w:pPr>
          </w:p>
        </w:tc>
        <w:tc>
          <w:tcPr>
            <w:tcW w:w="1418" w:type="dxa"/>
          </w:tcPr>
          <w:p w:rsidR="00F83E93" w:rsidRDefault="00F83E93" w:rsidP="00EE5FD5">
            <w:pPr>
              <w:spacing w:before="120"/>
              <w:jc w:val="both"/>
            </w:pPr>
          </w:p>
        </w:tc>
      </w:tr>
      <w:tr w:rsidR="00F83E93" w:rsidTr="00731D32">
        <w:trPr>
          <w:trHeight w:val="627"/>
        </w:trPr>
        <w:tc>
          <w:tcPr>
            <w:tcW w:w="5240" w:type="dxa"/>
          </w:tcPr>
          <w:p w:rsidR="00F83E93" w:rsidRDefault="007A44F6" w:rsidP="00EE5FD5">
            <w:pPr>
              <w:spacing w:before="120"/>
              <w:jc w:val="both"/>
            </w:pPr>
            <w:r w:rsidRPr="007A44F6">
              <w:rPr>
                <w:b/>
              </w:rPr>
              <w:t>8. Fin de la rencontre</w:t>
            </w:r>
          </w:p>
        </w:tc>
        <w:tc>
          <w:tcPr>
            <w:tcW w:w="5103" w:type="dxa"/>
          </w:tcPr>
          <w:p w:rsidR="00F83E93" w:rsidRDefault="00727034" w:rsidP="00EE5FD5">
            <w:pPr>
              <w:spacing w:before="120"/>
              <w:jc w:val="both"/>
            </w:pPr>
            <w:r>
              <w:t>La rencontre se termine à 16h.</w:t>
            </w:r>
          </w:p>
        </w:tc>
        <w:tc>
          <w:tcPr>
            <w:tcW w:w="1701" w:type="dxa"/>
          </w:tcPr>
          <w:p w:rsidR="00F83E93" w:rsidRDefault="00F83E93" w:rsidP="00EE5FD5">
            <w:pPr>
              <w:spacing w:before="120"/>
              <w:jc w:val="both"/>
            </w:pPr>
          </w:p>
        </w:tc>
        <w:tc>
          <w:tcPr>
            <w:tcW w:w="1418" w:type="dxa"/>
          </w:tcPr>
          <w:p w:rsidR="00F83E93" w:rsidRDefault="00F83E93" w:rsidP="00EE5FD5">
            <w:pPr>
              <w:spacing w:before="120"/>
              <w:jc w:val="both"/>
            </w:pPr>
          </w:p>
        </w:tc>
      </w:tr>
    </w:tbl>
    <w:p w:rsidR="00FF3C52" w:rsidRPr="00FF3C52" w:rsidRDefault="00FF3C52" w:rsidP="00794E71">
      <w:pPr>
        <w:jc w:val="both"/>
      </w:pPr>
    </w:p>
    <w:sectPr w:rsidR="00FF3C52" w:rsidRPr="00FF3C52" w:rsidSect="00731D32">
      <w:footerReference w:type="default" r:id="rId10"/>
      <w:pgSz w:w="15840" w:h="12240" w:orient="landscape"/>
      <w:pgMar w:top="851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1D" w:rsidRDefault="00A2441D" w:rsidP="00A6646E">
      <w:pPr>
        <w:spacing w:after="0" w:line="240" w:lineRule="auto"/>
      </w:pPr>
      <w:r>
        <w:separator/>
      </w:r>
    </w:p>
  </w:endnote>
  <w:endnote w:type="continuationSeparator" w:id="0">
    <w:p w:rsidR="00A2441D" w:rsidRDefault="00A2441D" w:rsidP="00A6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14971"/>
      <w:docPartObj>
        <w:docPartGallery w:val="Page Numbers (Bottom of Page)"/>
        <w:docPartUnique/>
      </w:docPartObj>
    </w:sdtPr>
    <w:sdtEndPr/>
    <w:sdtContent>
      <w:p w:rsidR="00A2441D" w:rsidRDefault="00A244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74" w:rsidRPr="00685D74">
          <w:rPr>
            <w:noProof/>
            <w:lang w:val="fr-FR"/>
          </w:rPr>
          <w:t>2</w:t>
        </w:r>
        <w:r>
          <w:fldChar w:fldCharType="end"/>
        </w:r>
      </w:p>
    </w:sdtContent>
  </w:sdt>
  <w:p w:rsidR="00A2441D" w:rsidRDefault="00A244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1D" w:rsidRDefault="00A2441D" w:rsidP="00A6646E">
      <w:pPr>
        <w:spacing w:after="0" w:line="240" w:lineRule="auto"/>
      </w:pPr>
      <w:r>
        <w:separator/>
      </w:r>
    </w:p>
  </w:footnote>
  <w:footnote w:type="continuationSeparator" w:id="0">
    <w:p w:rsidR="00A2441D" w:rsidRDefault="00A2441D" w:rsidP="00A6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80D"/>
    <w:multiLevelType w:val="hybridMultilevel"/>
    <w:tmpl w:val="057CD148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DF6"/>
    <w:multiLevelType w:val="hybridMultilevel"/>
    <w:tmpl w:val="A218EF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4D46"/>
    <w:multiLevelType w:val="hybridMultilevel"/>
    <w:tmpl w:val="0E7039D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1F3E8C"/>
    <w:multiLevelType w:val="hybridMultilevel"/>
    <w:tmpl w:val="F18C50D4"/>
    <w:lvl w:ilvl="0" w:tplc="3496B6AC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42737D69"/>
    <w:multiLevelType w:val="hybridMultilevel"/>
    <w:tmpl w:val="BFDCE57C"/>
    <w:lvl w:ilvl="0" w:tplc="744601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968A3"/>
    <w:multiLevelType w:val="hybridMultilevel"/>
    <w:tmpl w:val="6CB01B68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2751065"/>
    <w:multiLevelType w:val="hybridMultilevel"/>
    <w:tmpl w:val="FF5C2234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398A"/>
    <w:multiLevelType w:val="hybridMultilevel"/>
    <w:tmpl w:val="0A20AB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568C"/>
    <w:multiLevelType w:val="hybridMultilevel"/>
    <w:tmpl w:val="2722AAC0"/>
    <w:lvl w:ilvl="0" w:tplc="B73E6526">
      <w:start w:val="2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2"/>
    <w:rsid w:val="00076C28"/>
    <w:rsid w:val="000908AA"/>
    <w:rsid w:val="000A7A70"/>
    <w:rsid w:val="00106B6D"/>
    <w:rsid w:val="001135AC"/>
    <w:rsid w:val="001B0E55"/>
    <w:rsid w:val="001B660A"/>
    <w:rsid w:val="00235430"/>
    <w:rsid w:val="002E634C"/>
    <w:rsid w:val="0031760F"/>
    <w:rsid w:val="0037527C"/>
    <w:rsid w:val="0038116C"/>
    <w:rsid w:val="003964C4"/>
    <w:rsid w:val="003B7247"/>
    <w:rsid w:val="003C4506"/>
    <w:rsid w:val="0049686E"/>
    <w:rsid w:val="004B648A"/>
    <w:rsid w:val="004E242B"/>
    <w:rsid w:val="005005EF"/>
    <w:rsid w:val="00522453"/>
    <w:rsid w:val="00522C8A"/>
    <w:rsid w:val="005A177D"/>
    <w:rsid w:val="005E3B9F"/>
    <w:rsid w:val="00612630"/>
    <w:rsid w:val="00630384"/>
    <w:rsid w:val="00640B23"/>
    <w:rsid w:val="0067098D"/>
    <w:rsid w:val="00683092"/>
    <w:rsid w:val="00685D74"/>
    <w:rsid w:val="006A2944"/>
    <w:rsid w:val="007135F4"/>
    <w:rsid w:val="00713D1F"/>
    <w:rsid w:val="00727034"/>
    <w:rsid w:val="00731D32"/>
    <w:rsid w:val="00794E71"/>
    <w:rsid w:val="007A44F6"/>
    <w:rsid w:val="007C4856"/>
    <w:rsid w:val="00835F0F"/>
    <w:rsid w:val="00852BA6"/>
    <w:rsid w:val="00855B54"/>
    <w:rsid w:val="00A2441D"/>
    <w:rsid w:val="00A52CAF"/>
    <w:rsid w:val="00A64DDB"/>
    <w:rsid w:val="00A6646E"/>
    <w:rsid w:val="00AB0B77"/>
    <w:rsid w:val="00B06965"/>
    <w:rsid w:val="00B64BC5"/>
    <w:rsid w:val="00BC1377"/>
    <w:rsid w:val="00C00F0B"/>
    <w:rsid w:val="00C51688"/>
    <w:rsid w:val="00CB6833"/>
    <w:rsid w:val="00D35DF9"/>
    <w:rsid w:val="00E56136"/>
    <w:rsid w:val="00EB0D2A"/>
    <w:rsid w:val="00EB194A"/>
    <w:rsid w:val="00ED232A"/>
    <w:rsid w:val="00EE5FD5"/>
    <w:rsid w:val="00EE698F"/>
    <w:rsid w:val="00F0599F"/>
    <w:rsid w:val="00F83E93"/>
    <w:rsid w:val="00FB0019"/>
    <w:rsid w:val="00FF263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F919-99E3-4C74-9E0B-4A7845CA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3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3C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6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6E"/>
  </w:style>
  <w:style w:type="paragraph" w:styleId="Pieddepage">
    <w:name w:val="footer"/>
    <w:basedOn w:val="Normal"/>
    <w:link w:val="PieddepageCar"/>
    <w:uiPriority w:val="99"/>
    <w:unhideWhenUsed/>
    <w:rsid w:val="00A66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plisver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entdegres.ca/financement/appel-de-projets/cultiver-lavenir-cuisinons-ensemble-les-aliments-dic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CISSSO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Charlebois</dc:creator>
  <cp:keywords/>
  <dc:description/>
  <cp:lastModifiedBy>Anne-Marie DesRoches</cp:lastModifiedBy>
  <cp:revision>2</cp:revision>
  <cp:lastPrinted>2019-10-01T20:04:00Z</cp:lastPrinted>
  <dcterms:created xsi:type="dcterms:W3CDTF">2019-11-15T15:19:00Z</dcterms:created>
  <dcterms:modified xsi:type="dcterms:W3CDTF">2019-11-15T15:19:00Z</dcterms:modified>
</cp:coreProperties>
</file>