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7E" w:rsidRPr="00671E02" w:rsidRDefault="004D27A2" w:rsidP="002F7393">
      <w:pPr>
        <w:pStyle w:val="Titre1"/>
        <w:spacing w:before="240" w:after="120" w:line="240" w:lineRule="auto"/>
        <w:ind w:left="-142"/>
        <w:rPr>
          <w:color w:val="9BBB59" w:themeColor="accent3"/>
        </w:rPr>
      </w:pPr>
      <w:bookmarkStart w:id="0" w:name="_GoBack"/>
      <w:bookmarkEnd w:id="0"/>
      <w:r w:rsidRPr="00671E02">
        <w:rPr>
          <w:noProof/>
          <w:color w:val="9BBB59" w:themeColor="accent3"/>
          <w:lang w:eastAsia="fr-CA"/>
        </w:rPr>
        <w:drawing>
          <wp:anchor distT="0" distB="0" distL="114300" distR="114300" simplePos="0" relativeHeight="251658240" behindDoc="0" locked="0" layoutInCell="1" allowOverlap="1" wp14:anchorId="4E97C084" wp14:editId="2EC15821">
            <wp:simplePos x="0" y="0"/>
            <wp:positionH relativeFrom="column">
              <wp:posOffset>-1551940</wp:posOffset>
            </wp:positionH>
            <wp:positionV relativeFrom="paragraph">
              <wp:posOffset>-190500</wp:posOffset>
            </wp:positionV>
            <wp:extent cx="1295400" cy="1095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certation__compressé.jpg"/>
                    <pic:cNvPicPr/>
                  </pic:nvPicPr>
                  <pic:blipFill rotWithShape="1">
                    <a:blip r:embed="rId7" cstate="print">
                      <a:extLst>
                        <a:ext uri="{28A0092B-C50C-407E-A947-70E740481C1C}">
                          <a14:useLocalDpi xmlns:a14="http://schemas.microsoft.com/office/drawing/2010/main" val="0"/>
                        </a:ext>
                      </a:extLst>
                    </a:blip>
                    <a:srcRect b="15233"/>
                    <a:stretch/>
                  </pic:blipFill>
                  <pic:spPr bwMode="auto">
                    <a:xfrm>
                      <a:off x="0" y="0"/>
                      <a:ext cx="129540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7DDB" w:rsidRPr="00671E02">
        <w:rPr>
          <w:color w:val="9BBB59" w:themeColor="accent3"/>
        </w:rPr>
        <w:t>Fiche de suivi</w:t>
      </w:r>
    </w:p>
    <w:p w:rsidR="00DD6650" w:rsidRDefault="00DD6650" w:rsidP="00DD6650">
      <w:pPr>
        <w:spacing w:line="240" w:lineRule="auto"/>
        <w:rPr>
          <w:b/>
        </w:rPr>
        <w:sectPr w:rsidR="00DD6650" w:rsidSect="00E9690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3119" w:header="708" w:footer="708" w:gutter="0"/>
          <w:cols w:space="708"/>
          <w:docGrid w:linePitch="360"/>
        </w:sectPr>
      </w:pPr>
    </w:p>
    <w:p w:rsidR="00262E80" w:rsidRPr="00A20A3B" w:rsidRDefault="00745B0E" w:rsidP="00262E80">
      <w:pPr>
        <w:tabs>
          <w:tab w:val="left" w:pos="7200"/>
        </w:tabs>
        <w:spacing w:line="240" w:lineRule="auto"/>
        <w:ind w:right="-2250"/>
        <w:rPr>
          <w:b/>
          <w:sz w:val="24"/>
          <w:szCs w:val="24"/>
        </w:rPr>
      </w:pPr>
      <w:r w:rsidRPr="00A20A3B">
        <w:rPr>
          <w:b/>
          <w:sz w:val="24"/>
          <w:szCs w:val="24"/>
        </w:rPr>
        <w:t>Comité</w:t>
      </w:r>
      <w:r w:rsidR="00CE7DDB" w:rsidRPr="00A20A3B">
        <w:rPr>
          <w:b/>
          <w:sz w:val="24"/>
          <w:szCs w:val="24"/>
        </w:rPr>
        <w:t xml:space="preserve"> : </w:t>
      </w:r>
      <w:r w:rsidR="00262E80" w:rsidRPr="00A20A3B">
        <w:rPr>
          <w:b/>
          <w:sz w:val="24"/>
          <w:szCs w:val="24"/>
        </w:rPr>
        <w:t xml:space="preserve">Petite enfance 0-5 ans           </w:t>
      </w:r>
    </w:p>
    <w:p w:rsidR="00DD6650" w:rsidRDefault="00262E80" w:rsidP="00262E80">
      <w:pPr>
        <w:tabs>
          <w:tab w:val="left" w:pos="7200"/>
        </w:tabs>
        <w:spacing w:line="240" w:lineRule="auto"/>
        <w:ind w:right="-2250"/>
        <w:rPr>
          <w:b/>
        </w:rPr>
        <w:sectPr w:rsidR="00DD6650" w:rsidSect="00262E80">
          <w:type w:val="continuous"/>
          <w:pgSz w:w="15840" w:h="12240" w:orient="landscape"/>
          <w:pgMar w:top="993" w:right="1080" w:bottom="993" w:left="2977" w:header="708" w:footer="708" w:gutter="0"/>
          <w:cols w:num="2" w:space="1703"/>
          <w:docGrid w:linePitch="360"/>
        </w:sectPr>
      </w:pPr>
      <w:r>
        <w:rPr>
          <w:b/>
        </w:rPr>
        <w:t xml:space="preserve"> Date : Le </w:t>
      </w:r>
      <w:r w:rsidR="00217811">
        <w:rPr>
          <w:b/>
        </w:rPr>
        <w:t>10</w:t>
      </w:r>
      <w:r w:rsidR="00E87E56">
        <w:rPr>
          <w:b/>
        </w:rPr>
        <w:t xml:space="preserve"> </w:t>
      </w:r>
      <w:r w:rsidR="00217811">
        <w:rPr>
          <w:b/>
        </w:rPr>
        <w:t>avril</w:t>
      </w:r>
      <w:r>
        <w:rPr>
          <w:b/>
        </w:rPr>
        <w:t xml:space="preserve"> 201</w:t>
      </w:r>
      <w:r w:rsidR="00217811">
        <w:rPr>
          <w:b/>
        </w:rPr>
        <w:t>8</w:t>
      </w:r>
      <w:r>
        <w:rPr>
          <w:b/>
        </w:rPr>
        <w:t xml:space="preserve"> </w:t>
      </w:r>
    </w:p>
    <w:p w:rsidR="004D27A2" w:rsidRDefault="004D27A2" w:rsidP="00F3284D">
      <w:pPr>
        <w:spacing w:after="0" w:line="240" w:lineRule="auto"/>
        <w:sectPr w:rsidR="004D27A2" w:rsidSect="00165A21">
          <w:type w:val="continuous"/>
          <w:pgSz w:w="15840" w:h="12240" w:orient="landscape"/>
          <w:pgMar w:top="709" w:right="1080" w:bottom="567" w:left="1080" w:header="708" w:footer="708" w:gutter="0"/>
          <w:cols w:space="708"/>
          <w:docGrid w:linePitch="360"/>
        </w:sectPr>
      </w:pPr>
    </w:p>
    <w:p w:rsidR="00CE7DDB" w:rsidRPr="004D27A2" w:rsidRDefault="00CE7DDB" w:rsidP="008D3ECB">
      <w:pPr>
        <w:spacing w:after="120" w:line="240" w:lineRule="auto"/>
      </w:pPr>
    </w:p>
    <w:tbl>
      <w:tblPr>
        <w:tblStyle w:val="Grilledutableau"/>
        <w:tblW w:w="14044" w:type="dxa"/>
        <w:tblLook w:val="04A0" w:firstRow="1" w:lastRow="0" w:firstColumn="1" w:lastColumn="0" w:noHBand="0" w:noVBand="1"/>
      </w:tblPr>
      <w:tblGrid>
        <w:gridCol w:w="4360"/>
        <w:gridCol w:w="4995"/>
        <w:gridCol w:w="2563"/>
        <w:gridCol w:w="2126"/>
      </w:tblGrid>
      <w:tr w:rsidR="00F3284D" w:rsidRPr="00E22BC6" w:rsidTr="004C28D9">
        <w:tc>
          <w:tcPr>
            <w:tcW w:w="5508" w:type="dxa"/>
            <w:shd w:val="clear" w:color="auto" w:fill="C2D69B" w:themeFill="accent3" w:themeFillTint="99"/>
          </w:tcPr>
          <w:p w:rsidR="00F3284D" w:rsidRPr="00E22BC6" w:rsidRDefault="00F3284D" w:rsidP="00BC070B">
            <w:pPr>
              <w:rPr>
                <w:b/>
                <w:sz w:val="24"/>
              </w:rPr>
            </w:pPr>
            <w:r w:rsidRPr="00E22BC6">
              <w:rPr>
                <w:b/>
                <w:sz w:val="24"/>
              </w:rPr>
              <w:t>Discussion</w:t>
            </w:r>
          </w:p>
        </w:tc>
        <w:tc>
          <w:tcPr>
            <w:tcW w:w="2970" w:type="dxa"/>
            <w:shd w:val="clear" w:color="auto" w:fill="C2D69B" w:themeFill="accent3" w:themeFillTint="99"/>
          </w:tcPr>
          <w:p w:rsidR="00F3284D" w:rsidRPr="00E22BC6" w:rsidRDefault="00F3284D" w:rsidP="00BC070B">
            <w:pPr>
              <w:jc w:val="center"/>
              <w:rPr>
                <w:b/>
                <w:sz w:val="24"/>
              </w:rPr>
            </w:pPr>
            <w:r w:rsidRPr="00E22BC6">
              <w:rPr>
                <w:b/>
                <w:sz w:val="24"/>
              </w:rPr>
              <w:t>Action / Suivi à faire</w:t>
            </w:r>
          </w:p>
        </w:tc>
        <w:tc>
          <w:tcPr>
            <w:tcW w:w="3060" w:type="dxa"/>
            <w:shd w:val="clear" w:color="auto" w:fill="C2D69B" w:themeFill="accent3" w:themeFillTint="99"/>
          </w:tcPr>
          <w:p w:rsidR="00F3284D" w:rsidRPr="00E22BC6" w:rsidRDefault="00F3284D" w:rsidP="00BC070B">
            <w:pPr>
              <w:jc w:val="center"/>
              <w:rPr>
                <w:b/>
                <w:sz w:val="24"/>
              </w:rPr>
            </w:pPr>
            <w:r w:rsidRPr="00E22BC6">
              <w:rPr>
                <w:b/>
                <w:sz w:val="24"/>
              </w:rPr>
              <w:t>Responsable</w:t>
            </w:r>
          </w:p>
        </w:tc>
        <w:tc>
          <w:tcPr>
            <w:tcW w:w="2506" w:type="dxa"/>
            <w:shd w:val="clear" w:color="auto" w:fill="C2D69B" w:themeFill="accent3" w:themeFillTint="99"/>
          </w:tcPr>
          <w:p w:rsidR="00F3284D" w:rsidRPr="00E22BC6" w:rsidRDefault="00F3284D" w:rsidP="00BC070B">
            <w:pPr>
              <w:jc w:val="center"/>
              <w:rPr>
                <w:b/>
                <w:sz w:val="24"/>
              </w:rPr>
            </w:pPr>
            <w:r w:rsidRPr="00E22BC6">
              <w:rPr>
                <w:b/>
                <w:sz w:val="24"/>
              </w:rPr>
              <w:t>Échéancier</w:t>
            </w:r>
          </w:p>
        </w:tc>
      </w:tr>
      <w:tr w:rsidR="00F3284D" w:rsidTr="004C28D9">
        <w:trPr>
          <w:trHeight w:val="794"/>
        </w:trPr>
        <w:tc>
          <w:tcPr>
            <w:tcW w:w="5508" w:type="dxa"/>
          </w:tcPr>
          <w:p w:rsidR="00E87E56" w:rsidRDefault="00E87E56" w:rsidP="00482970">
            <w:pPr>
              <w:jc w:val="both"/>
              <w:rPr>
                <w:b/>
              </w:rPr>
            </w:pPr>
            <w:r w:rsidRPr="007F459C">
              <w:rPr>
                <w:b/>
              </w:rPr>
              <w:t>Nouvelles des partenaires</w:t>
            </w:r>
          </w:p>
          <w:p w:rsidR="00D365C1" w:rsidRPr="007F459C" w:rsidRDefault="00D365C1" w:rsidP="00482970">
            <w:pPr>
              <w:jc w:val="both"/>
              <w:rPr>
                <w:b/>
              </w:rPr>
            </w:pPr>
          </w:p>
          <w:p w:rsidR="0011520F" w:rsidRPr="00FC5C77" w:rsidRDefault="0011520F" w:rsidP="00482970">
            <w:pPr>
              <w:pStyle w:val="Default"/>
              <w:numPr>
                <w:ilvl w:val="0"/>
                <w:numId w:val="2"/>
              </w:numPr>
              <w:ind w:left="180" w:hanging="180"/>
              <w:jc w:val="both"/>
              <w:rPr>
                <w:rFonts w:ascii="Calibri" w:hAnsi="Calibri"/>
              </w:rPr>
            </w:pPr>
            <w:r w:rsidRPr="0011520F">
              <w:rPr>
                <w:rFonts w:ascii="Calibri" w:hAnsi="Calibri"/>
                <w:color w:val="212121"/>
                <w:sz w:val="22"/>
                <w:szCs w:val="22"/>
                <w:shd w:val="clear" w:color="auto" w:fill="FFFFFF"/>
              </w:rPr>
              <w:t>M</w:t>
            </w:r>
            <w:r w:rsidR="00D365C1">
              <w:rPr>
                <w:rFonts w:ascii="Calibri" w:hAnsi="Calibri"/>
                <w:color w:val="212121"/>
                <w:sz w:val="22"/>
                <w:szCs w:val="22"/>
                <w:shd w:val="clear" w:color="auto" w:fill="FFFFFF"/>
              </w:rPr>
              <w:t>-</w:t>
            </w:r>
            <w:r w:rsidRPr="0011520F">
              <w:rPr>
                <w:rFonts w:ascii="Calibri" w:hAnsi="Calibri"/>
                <w:color w:val="212121"/>
                <w:sz w:val="22"/>
                <w:szCs w:val="22"/>
                <w:shd w:val="clear" w:color="auto" w:fill="FFFFFF"/>
              </w:rPr>
              <w:t>P</w:t>
            </w:r>
            <w:r w:rsidR="008845BC">
              <w:rPr>
                <w:rFonts w:ascii="Calibri" w:hAnsi="Calibri"/>
                <w:color w:val="212121"/>
                <w:sz w:val="22"/>
                <w:szCs w:val="22"/>
                <w:shd w:val="clear" w:color="auto" w:fill="FFFFFF"/>
              </w:rPr>
              <w:t>. Boucher</w:t>
            </w:r>
            <w:r w:rsidRPr="0011520F">
              <w:rPr>
                <w:rFonts w:ascii="Calibri" w:hAnsi="Calibri"/>
                <w:color w:val="212121"/>
                <w:sz w:val="22"/>
                <w:szCs w:val="22"/>
                <w:shd w:val="clear" w:color="auto" w:fill="FFFFFF"/>
              </w:rPr>
              <w:t xml:space="preserve"> nous informe du contexte de la garde en milieu familial qui a été modifié avec l’entrée en vigueur de la Loi </w:t>
            </w:r>
            <w:r w:rsidR="00D365C1">
              <w:rPr>
                <w:rFonts w:ascii="Calibri" w:hAnsi="Calibri"/>
                <w:color w:val="212121"/>
                <w:sz w:val="22"/>
                <w:szCs w:val="22"/>
                <w:shd w:val="clear" w:color="auto" w:fill="FFFFFF"/>
              </w:rPr>
              <w:t xml:space="preserve">143  </w:t>
            </w:r>
            <w:r w:rsidRPr="0011520F">
              <w:rPr>
                <w:rFonts w:ascii="Calibri" w:hAnsi="Calibri"/>
                <w:color w:val="212121"/>
                <w:sz w:val="22"/>
                <w:szCs w:val="22"/>
                <w:shd w:val="clear" w:color="auto" w:fill="FFFFFF"/>
              </w:rPr>
              <w:t>visant à améliorer la qualité éducative et à favoriser le développement harmonieux des services de garde éducatifs à l’enfance.</w:t>
            </w:r>
          </w:p>
          <w:p w:rsidR="00FC5C77" w:rsidRPr="0011520F" w:rsidRDefault="00FC5C77" w:rsidP="00DA1838">
            <w:pPr>
              <w:pStyle w:val="Default"/>
              <w:ind w:left="180"/>
              <w:jc w:val="both"/>
              <w:rPr>
                <w:rFonts w:ascii="Calibri" w:hAnsi="Calibri"/>
              </w:rPr>
            </w:pPr>
          </w:p>
          <w:p w:rsidR="0011520F" w:rsidRPr="0011520F" w:rsidRDefault="00D25A8A" w:rsidP="0011520F">
            <w:pPr>
              <w:pStyle w:val="Default"/>
              <w:numPr>
                <w:ilvl w:val="0"/>
                <w:numId w:val="2"/>
              </w:numPr>
              <w:ind w:left="180" w:hanging="180"/>
              <w:jc w:val="both"/>
              <w:rPr>
                <w:sz w:val="22"/>
                <w:szCs w:val="22"/>
              </w:rPr>
            </w:pPr>
            <w:r>
              <w:rPr>
                <w:rFonts w:asciiTheme="minorHAnsi" w:hAnsiTheme="minorHAnsi"/>
                <w:sz w:val="22"/>
                <w:szCs w:val="22"/>
              </w:rPr>
              <w:t xml:space="preserve">S. Leclerc </w:t>
            </w:r>
            <w:r w:rsidR="0011520F">
              <w:rPr>
                <w:rFonts w:asciiTheme="minorHAnsi" w:hAnsiTheme="minorHAnsi"/>
                <w:sz w:val="22"/>
                <w:szCs w:val="22"/>
              </w:rPr>
              <w:t xml:space="preserve">mentionne qu’un nouveau groupe de travail a été créé à  </w:t>
            </w:r>
            <w:proofErr w:type="spellStart"/>
            <w:r>
              <w:rPr>
                <w:rFonts w:asciiTheme="minorHAnsi" w:hAnsiTheme="minorHAnsi"/>
                <w:sz w:val="22"/>
                <w:szCs w:val="22"/>
              </w:rPr>
              <w:t>IMPACTe</w:t>
            </w:r>
            <w:proofErr w:type="spellEnd"/>
            <w:r>
              <w:rPr>
                <w:rFonts w:asciiTheme="minorHAnsi" w:hAnsiTheme="minorHAnsi"/>
                <w:sz w:val="22"/>
                <w:szCs w:val="22"/>
              </w:rPr>
              <w:t xml:space="preserve"> afin </w:t>
            </w:r>
            <w:r w:rsidR="0011520F">
              <w:rPr>
                <w:rFonts w:asciiTheme="minorHAnsi" w:hAnsiTheme="minorHAnsi"/>
                <w:sz w:val="22"/>
                <w:szCs w:val="22"/>
              </w:rPr>
              <w:t>de soutenir l’orientation</w:t>
            </w:r>
            <w:r w:rsidR="00683154">
              <w:rPr>
                <w:rFonts w:asciiTheme="minorHAnsi" w:hAnsiTheme="minorHAnsi"/>
                <w:sz w:val="22"/>
                <w:szCs w:val="22"/>
              </w:rPr>
              <w:t xml:space="preserve"> </w:t>
            </w:r>
            <w:r w:rsidR="0011520F">
              <w:rPr>
                <w:rFonts w:asciiTheme="minorHAnsi" w:hAnsiTheme="minorHAnsi"/>
                <w:sz w:val="22"/>
                <w:szCs w:val="22"/>
              </w:rPr>
              <w:t>1 du cadre de référence Gazelle et Potiron.</w:t>
            </w:r>
            <w:r w:rsidR="00683154">
              <w:rPr>
                <w:rFonts w:asciiTheme="minorHAnsi" w:hAnsiTheme="minorHAnsi"/>
                <w:sz w:val="22"/>
                <w:szCs w:val="22"/>
              </w:rPr>
              <w:t xml:space="preserve"> Elle nous informe aussi que la région du Saguenay-Lac-S</w:t>
            </w:r>
            <w:r w:rsidR="00AC1202">
              <w:rPr>
                <w:rFonts w:asciiTheme="minorHAnsi" w:hAnsiTheme="minorHAnsi"/>
                <w:sz w:val="22"/>
                <w:szCs w:val="22"/>
              </w:rPr>
              <w:t>aint</w:t>
            </w:r>
            <w:r w:rsidR="00683154">
              <w:rPr>
                <w:rFonts w:asciiTheme="minorHAnsi" w:hAnsiTheme="minorHAnsi"/>
                <w:sz w:val="22"/>
                <w:szCs w:val="22"/>
              </w:rPr>
              <w:t xml:space="preserve">-Jean a réalisé </w:t>
            </w:r>
            <w:r w:rsidR="00DA1838">
              <w:rPr>
                <w:rFonts w:asciiTheme="minorHAnsi" w:hAnsiTheme="minorHAnsi"/>
                <w:sz w:val="22"/>
                <w:szCs w:val="22"/>
              </w:rPr>
              <w:t>u</w:t>
            </w:r>
            <w:r w:rsidR="00683154">
              <w:rPr>
                <w:rFonts w:asciiTheme="minorHAnsi" w:hAnsiTheme="minorHAnsi"/>
                <w:sz w:val="22"/>
                <w:szCs w:val="22"/>
              </w:rPr>
              <w:t>n</w:t>
            </w:r>
            <w:r w:rsidR="00DA1838">
              <w:rPr>
                <w:rFonts w:asciiTheme="minorHAnsi" w:hAnsiTheme="minorHAnsi"/>
                <w:sz w:val="22"/>
                <w:szCs w:val="22"/>
              </w:rPr>
              <w:t xml:space="preserve"> document</w:t>
            </w:r>
            <w:r w:rsidR="00683154">
              <w:rPr>
                <w:rFonts w:asciiTheme="minorHAnsi" w:hAnsiTheme="minorHAnsi"/>
                <w:sz w:val="22"/>
                <w:szCs w:val="22"/>
              </w:rPr>
              <w:t xml:space="preserve"> synthèse</w:t>
            </w:r>
            <w:r w:rsidR="00DA1838">
              <w:rPr>
                <w:rFonts w:asciiTheme="minorHAnsi" w:hAnsiTheme="minorHAnsi"/>
                <w:sz w:val="22"/>
                <w:szCs w:val="22"/>
              </w:rPr>
              <w:t xml:space="preserve"> en lien avec la thématique de la petite enfance qu’elle partagera avec l’ensemble des membres du comité. </w:t>
            </w:r>
            <w:r w:rsidR="008845BC">
              <w:rPr>
                <w:rFonts w:asciiTheme="minorHAnsi" w:hAnsiTheme="minorHAnsi"/>
                <w:sz w:val="22"/>
                <w:szCs w:val="22"/>
              </w:rPr>
              <w:t xml:space="preserve"> </w:t>
            </w:r>
            <w:r w:rsidR="00683154">
              <w:rPr>
                <w:rFonts w:asciiTheme="minorHAnsi" w:hAnsiTheme="minorHAnsi"/>
                <w:sz w:val="22"/>
                <w:szCs w:val="22"/>
              </w:rPr>
              <w:t xml:space="preserve">   </w:t>
            </w:r>
          </w:p>
          <w:p w:rsidR="0011520F" w:rsidRPr="0011520F" w:rsidRDefault="0011520F" w:rsidP="0011520F">
            <w:pPr>
              <w:pStyle w:val="Default"/>
              <w:ind w:left="180"/>
              <w:jc w:val="both"/>
              <w:rPr>
                <w:sz w:val="22"/>
                <w:szCs w:val="22"/>
              </w:rPr>
            </w:pPr>
          </w:p>
          <w:p w:rsidR="008845BC" w:rsidRPr="008845BC" w:rsidRDefault="00FC5C77" w:rsidP="00683154">
            <w:pPr>
              <w:pStyle w:val="Default"/>
              <w:numPr>
                <w:ilvl w:val="0"/>
                <w:numId w:val="2"/>
              </w:numPr>
              <w:ind w:left="180" w:hanging="180"/>
              <w:jc w:val="both"/>
              <w:rPr>
                <w:sz w:val="22"/>
                <w:szCs w:val="22"/>
              </w:rPr>
            </w:pPr>
            <w:r>
              <w:rPr>
                <w:rFonts w:asciiTheme="minorHAnsi" w:hAnsiTheme="minorHAnsi"/>
                <w:sz w:val="22"/>
                <w:szCs w:val="22"/>
              </w:rPr>
              <w:t xml:space="preserve">A-M. DesRoches mentionne que les résultats du sondage auprès des SGÉE ont été présentés dans un TONUS.   Le TONUS spécial petite enfance </w:t>
            </w:r>
            <w:r w:rsidR="000C58A3">
              <w:rPr>
                <w:rFonts w:asciiTheme="minorHAnsi" w:hAnsiTheme="minorHAnsi"/>
                <w:sz w:val="22"/>
                <w:szCs w:val="22"/>
              </w:rPr>
              <w:t>faisant état</w:t>
            </w:r>
            <w:r>
              <w:rPr>
                <w:rFonts w:asciiTheme="minorHAnsi" w:hAnsiTheme="minorHAnsi"/>
                <w:sz w:val="22"/>
                <w:szCs w:val="22"/>
              </w:rPr>
              <w:t xml:space="preserve"> </w:t>
            </w:r>
            <w:r w:rsidR="000C58A3">
              <w:rPr>
                <w:rFonts w:asciiTheme="minorHAnsi" w:hAnsiTheme="minorHAnsi"/>
                <w:sz w:val="22"/>
                <w:szCs w:val="22"/>
              </w:rPr>
              <w:t>d</w:t>
            </w:r>
            <w:r>
              <w:rPr>
                <w:rFonts w:asciiTheme="minorHAnsi" w:hAnsiTheme="minorHAnsi"/>
                <w:sz w:val="22"/>
                <w:szCs w:val="22"/>
              </w:rPr>
              <w:t xml:space="preserve">es actions plus spécifiques serait à rédiger.   </w:t>
            </w:r>
          </w:p>
          <w:p w:rsidR="008845BC" w:rsidRPr="008845BC" w:rsidRDefault="008845BC" w:rsidP="008845BC">
            <w:pPr>
              <w:pStyle w:val="Paragraphedeliste"/>
            </w:pPr>
          </w:p>
          <w:p w:rsidR="000C58A3" w:rsidRPr="000C58A3" w:rsidRDefault="00683154" w:rsidP="00FC5C77">
            <w:pPr>
              <w:pStyle w:val="Default"/>
              <w:numPr>
                <w:ilvl w:val="0"/>
                <w:numId w:val="2"/>
              </w:numPr>
              <w:ind w:left="180" w:hanging="180"/>
              <w:jc w:val="both"/>
              <w:rPr>
                <w:sz w:val="22"/>
                <w:szCs w:val="22"/>
              </w:rPr>
            </w:pPr>
            <w:r w:rsidRPr="008845BC">
              <w:rPr>
                <w:rFonts w:asciiTheme="minorHAnsi" w:hAnsiTheme="minorHAnsi"/>
                <w:sz w:val="22"/>
                <w:szCs w:val="22"/>
              </w:rPr>
              <w:t xml:space="preserve"> </w:t>
            </w:r>
            <w:r w:rsidR="008845BC" w:rsidRPr="008845BC">
              <w:rPr>
                <w:rFonts w:asciiTheme="minorHAnsi" w:hAnsiTheme="minorHAnsi"/>
                <w:sz w:val="22"/>
                <w:szCs w:val="22"/>
              </w:rPr>
              <w:t>J. Charlebois</w:t>
            </w:r>
            <w:r w:rsidR="008845BC">
              <w:rPr>
                <w:rFonts w:asciiTheme="minorHAnsi" w:hAnsiTheme="minorHAnsi"/>
                <w:sz w:val="22"/>
                <w:szCs w:val="22"/>
              </w:rPr>
              <w:t xml:space="preserve"> mentionne que le </w:t>
            </w:r>
            <w:r w:rsidR="00AC1202">
              <w:rPr>
                <w:rFonts w:asciiTheme="minorHAnsi" w:hAnsiTheme="minorHAnsi"/>
                <w:sz w:val="22"/>
                <w:szCs w:val="22"/>
              </w:rPr>
              <w:t>m</w:t>
            </w:r>
            <w:r w:rsidR="008845BC">
              <w:rPr>
                <w:rFonts w:asciiTheme="minorHAnsi" w:hAnsiTheme="minorHAnsi"/>
                <w:sz w:val="22"/>
                <w:szCs w:val="22"/>
              </w:rPr>
              <w:t>inistère de la Famille n’est pas en mesure de déléguer un représentant à la Concertation</w:t>
            </w:r>
            <w:r w:rsidR="00443D0D">
              <w:rPr>
                <w:rFonts w:asciiTheme="minorHAnsi" w:hAnsiTheme="minorHAnsi"/>
                <w:sz w:val="22"/>
                <w:szCs w:val="22"/>
              </w:rPr>
              <w:t>.</w:t>
            </w:r>
            <w:r w:rsidR="008845BC">
              <w:rPr>
                <w:rFonts w:asciiTheme="minorHAnsi" w:hAnsiTheme="minorHAnsi"/>
                <w:sz w:val="22"/>
                <w:szCs w:val="22"/>
              </w:rPr>
              <w:t xml:space="preserve"> </w:t>
            </w:r>
          </w:p>
          <w:p w:rsidR="000C58A3" w:rsidRDefault="000C58A3" w:rsidP="000C58A3">
            <w:pPr>
              <w:pStyle w:val="Paragraphedeliste"/>
            </w:pPr>
          </w:p>
          <w:p w:rsidR="00482970" w:rsidRPr="00FC5C77" w:rsidRDefault="008845BC" w:rsidP="00FC5C77">
            <w:pPr>
              <w:pStyle w:val="Default"/>
              <w:numPr>
                <w:ilvl w:val="0"/>
                <w:numId w:val="2"/>
              </w:numPr>
              <w:ind w:left="180" w:hanging="180"/>
              <w:jc w:val="both"/>
              <w:rPr>
                <w:sz w:val="22"/>
                <w:szCs w:val="22"/>
              </w:rPr>
            </w:pPr>
            <w:r>
              <w:rPr>
                <w:rFonts w:asciiTheme="minorHAnsi" w:hAnsiTheme="minorHAnsi"/>
                <w:sz w:val="22"/>
                <w:szCs w:val="22"/>
              </w:rPr>
              <w:t xml:space="preserve"> </w:t>
            </w:r>
            <w:r w:rsidR="008A5070">
              <w:rPr>
                <w:rFonts w:asciiTheme="minorHAnsi" w:hAnsiTheme="minorHAnsi"/>
                <w:sz w:val="22"/>
                <w:szCs w:val="22"/>
              </w:rPr>
              <w:t xml:space="preserve">Les mesures en lien avec la petite enfance </w:t>
            </w:r>
            <w:r w:rsidR="008A5070">
              <w:rPr>
                <w:rFonts w:asciiTheme="minorHAnsi" w:hAnsiTheme="minorHAnsi"/>
                <w:sz w:val="22"/>
                <w:szCs w:val="22"/>
              </w:rPr>
              <w:lastRenderedPageBreak/>
              <w:t>inscrites au Plan d’action de la Politique gouvernementale de prévention en santé (PGPS) sont abordées brièvement.</w:t>
            </w:r>
            <w:r w:rsidR="00FC5C77">
              <w:rPr>
                <w:rFonts w:asciiTheme="minorHAnsi" w:hAnsiTheme="minorHAnsi"/>
                <w:sz w:val="22"/>
                <w:szCs w:val="22"/>
              </w:rPr>
              <w:t xml:space="preserve"> Ces mesures viennent appuyer le plan d’action de la Concertation et devront être prises en compte lorsque nous travaillerons une prochaine version d</w:t>
            </w:r>
            <w:r w:rsidR="000C58A3">
              <w:rPr>
                <w:rFonts w:asciiTheme="minorHAnsi" w:hAnsiTheme="minorHAnsi"/>
                <w:sz w:val="22"/>
                <w:szCs w:val="22"/>
              </w:rPr>
              <w:t>u</w:t>
            </w:r>
            <w:r w:rsidR="00FC5C77">
              <w:rPr>
                <w:rFonts w:asciiTheme="minorHAnsi" w:hAnsiTheme="minorHAnsi"/>
                <w:sz w:val="22"/>
                <w:szCs w:val="22"/>
              </w:rPr>
              <w:t xml:space="preserve"> plan d’action.    </w:t>
            </w:r>
            <w:r w:rsidR="008A5070">
              <w:rPr>
                <w:rFonts w:asciiTheme="minorHAnsi" w:hAnsiTheme="minorHAnsi"/>
                <w:sz w:val="22"/>
                <w:szCs w:val="22"/>
              </w:rPr>
              <w:t xml:space="preserve">  </w:t>
            </w:r>
          </w:p>
          <w:p w:rsidR="00FC5C77" w:rsidRPr="00482970" w:rsidRDefault="00FC5C77" w:rsidP="00FC5C77">
            <w:pPr>
              <w:pStyle w:val="Default"/>
              <w:ind w:left="360"/>
              <w:jc w:val="both"/>
              <w:rPr>
                <w:sz w:val="22"/>
                <w:szCs w:val="22"/>
              </w:rPr>
            </w:pPr>
          </w:p>
        </w:tc>
        <w:tc>
          <w:tcPr>
            <w:tcW w:w="2970" w:type="dxa"/>
          </w:tcPr>
          <w:p w:rsidR="000D6874" w:rsidRDefault="000D6874" w:rsidP="007F459C">
            <w:pPr>
              <w:jc w:val="both"/>
            </w:pPr>
          </w:p>
          <w:p w:rsidR="00443D0D" w:rsidRDefault="00443D0D" w:rsidP="007F459C">
            <w:pPr>
              <w:jc w:val="both"/>
            </w:pPr>
          </w:p>
          <w:p w:rsidR="00443D0D" w:rsidRDefault="00443D0D" w:rsidP="007F459C">
            <w:pPr>
              <w:jc w:val="both"/>
            </w:pPr>
          </w:p>
          <w:p w:rsidR="00443D0D" w:rsidRDefault="00443D0D" w:rsidP="007F459C">
            <w:pPr>
              <w:jc w:val="both"/>
            </w:pPr>
          </w:p>
          <w:p w:rsidR="00443D0D" w:rsidRDefault="00443D0D" w:rsidP="007F459C">
            <w:pPr>
              <w:jc w:val="both"/>
            </w:pPr>
          </w:p>
          <w:p w:rsidR="00443D0D" w:rsidRDefault="00443D0D" w:rsidP="007F459C">
            <w:pPr>
              <w:jc w:val="both"/>
            </w:pPr>
          </w:p>
          <w:p w:rsidR="00D365C1" w:rsidRDefault="00D365C1" w:rsidP="007F459C">
            <w:pPr>
              <w:jc w:val="both"/>
            </w:pPr>
          </w:p>
          <w:p w:rsidR="00D365C1" w:rsidRDefault="00D365C1" w:rsidP="007F459C">
            <w:pPr>
              <w:jc w:val="both"/>
            </w:pPr>
          </w:p>
          <w:p w:rsidR="000C58A3" w:rsidRDefault="000C58A3" w:rsidP="007F459C">
            <w:pPr>
              <w:jc w:val="both"/>
            </w:pPr>
          </w:p>
          <w:p w:rsidR="00443D0D" w:rsidRDefault="000C58A3" w:rsidP="007F459C">
            <w:pPr>
              <w:jc w:val="both"/>
            </w:pPr>
            <w:r>
              <w:t>A</w:t>
            </w:r>
            <w:r w:rsidR="00443D0D">
              <w:t>chemine</w:t>
            </w:r>
            <w:r>
              <w:t>r</w:t>
            </w:r>
            <w:r w:rsidR="00443D0D">
              <w:t xml:space="preserve"> le document synthèse  aux membres du comité.</w:t>
            </w:r>
          </w:p>
          <w:p w:rsidR="00443D0D" w:rsidRDefault="00443D0D" w:rsidP="007F459C">
            <w:pPr>
              <w:jc w:val="both"/>
            </w:pPr>
          </w:p>
          <w:p w:rsidR="00443D0D" w:rsidRDefault="00443D0D" w:rsidP="007F459C">
            <w:pPr>
              <w:jc w:val="both"/>
            </w:pPr>
          </w:p>
          <w:p w:rsidR="00443D0D" w:rsidRDefault="00443D0D" w:rsidP="007F459C">
            <w:pPr>
              <w:jc w:val="both"/>
            </w:pPr>
          </w:p>
          <w:p w:rsidR="000C58A3" w:rsidRDefault="000C58A3" w:rsidP="007F459C">
            <w:pPr>
              <w:jc w:val="both"/>
            </w:pPr>
          </w:p>
          <w:p w:rsidR="000C58A3" w:rsidRDefault="000C58A3" w:rsidP="007F459C">
            <w:pPr>
              <w:jc w:val="both"/>
            </w:pPr>
          </w:p>
          <w:p w:rsidR="000C58A3" w:rsidRDefault="000C58A3" w:rsidP="007F459C">
            <w:pPr>
              <w:jc w:val="both"/>
            </w:pPr>
          </w:p>
          <w:p w:rsidR="000C58A3" w:rsidRDefault="000C58A3" w:rsidP="007F459C">
            <w:pPr>
              <w:jc w:val="both"/>
            </w:pPr>
          </w:p>
          <w:p w:rsidR="000C58A3" w:rsidRDefault="000C58A3" w:rsidP="007F459C">
            <w:pPr>
              <w:jc w:val="both"/>
            </w:pPr>
          </w:p>
          <w:p w:rsidR="00443D0D" w:rsidRDefault="000C58A3" w:rsidP="007F459C">
            <w:pPr>
              <w:jc w:val="both"/>
            </w:pPr>
            <w:r>
              <w:t>P</w:t>
            </w:r>
            <w:r w:rsidR="00FC5C77">
              <w:t>ropose</w:t>
            </w:r>
            <w:r>
              <w:t>r</w:t>
            </w:r>
            <w:r w:rsidR="00FC5C77">
              <w:t xml:space="preserve"> un contenu p</w:t>
            </w:r>
            <w:r>
              <w:t>o</w:t>
            </w:r>
            <w:r w:rsidR="00FC5C77">
              <w:t xml:space="preserve">ur un TONUS Petite enfance. </w:t>
            </w:r>
          </w:p>
          <w:p w:rsidR="00443D0D" w:rsidRDefault="00443D0D" w:rsidP="007F459C">
            <w:pPr>
              <w:jc w:val="both"/>
            </w:pPr>
          </w:p>
          <w:p w:rsidR="00443D0D" w:rsidRDefault="00443D0D" w:rsidP="007F459C">
            <w:pPr>
              <w:jc w:val="both"/>
            </w:pPr>
          </w:p>
          <w:p w:rsidR="000C58A3" w:rsidRDefault="000C58A3" w:rsidP="007F459C">
            <w:pPr>
              <w:jc w:val="both"/>
            </w:pPr>
          </w:p>
          <w:p w:rsidR="000C58A3" w:rsidRDefault="000C58A3" w:rsidP="007F459C">
            <w:pPr>
              <w:jc w:val="both"/>
            </w:pPr>
          </w:p>
          <w:p w:rsidR="000C58A3" w:rsidRDefault="000C58A3" w:rsidP="007F459C">
            <w:pPr>
              <w:jc w:val="both"/>
            </w:pPr>
          </w:p>
          <w:p w:rsidR="00443D0D" w:rsidRDefault="000C58A3" w:rsidP="007F459C">
            <w:pPr>
              <w:jc w:val="both"/>
            </w:pPr>
            <w:r>
              <w:t>C</w:t>
            </w:r>
            <w:r w:rsidR="00443D0D">
              <w:t>ommunique</w:t>
            </w:r>
            <w:r>
              <w:t>r</w:t>
            </w:r>
            <w:r w:rsidR="00443D0D">
              <w:t xml:space="preserve"> avec le </w:t>
            </w:r>
            <w:r w:rsidR="00AC1202">
              <w:t>m</w:t>
            </w:r>
            <w:r w:rsidR="00443D0D">
              <w:t xml:space="preserve">inistère de la </w:t>
            </w:r>
            <w:r w:rsidR="00AC1202">
              <w:t>F</w:t>
            </w:r>
            <w:r w:rsidR="00443D0D">
              <w:t xml:space="preserve">amille afin de voir les options possibles pour les suivis de collaboration. </w:t>
            </w:r>
          </w:p>
          <w:p w:rsidR="000C58A3" w:rsidRDefault="000C58A3" w:rsidP="007F459C">
            <w:pPr>
              <w:jc w:val="both"/>
            </w:pPr>
          </w:p>
          <w:p w:rsidR="008A5070" w:rsidRDefault="000C58A3" w:rsidP="007F459C">
            <w:pPr>
              <w:jc w:val="both"/>
            </w:pPr>
            <w:r>
              <w:t>A</w:t>
            </w:r>
            <w:r w:rsidR="008A5070">
              <w:t>chemine</w:t>
            </w:r>
            <w:r>
              <w:t>r</w:t>
            </w:r>
            <w:r w:rsidR="008A5070">
              <w:t xml:space="preserve"> le lien web vers la PGPS.   </w:t>
            </w:r>
            <w:r>
              <w:lastRenderedPageBreak/>
              <w:t>h</w:t>
            </w:r>
            <w:r w:rsidRPr="000C58A3">
              <w:t>ttp://publications.msss.gouv.qc.ca/msss/document-002035/</w:t>
            </w:r>
          </w:p>
          <w:p w:rsidR="00443D0D" w:rsidRDefault="00443D0D" w:rsidP="007F459C">
            <w:pPr>
              <w:jc w:val="both"/>
            </w:pPr>
          </w:p>
          <w:p w:rsidR="00443D0D" w:rsidRDefault="00443D0D" w:rsidP="007F459C">
            <w:pPr>
              <w:jc w:val="both"/>
            </w:pPr>
          </w:p>
          <w:p w:rsidR="00443D0D" w:rsidRDefault="00443D0D" w:rsidP="007F459C">
            <w:pPr>
              <w:jc w:val="both"/>
            </w:pPr>
          </w:p>
        </w:tc>
        <w:tc>
          <w:tcPr>
            <w:tcW w:w="3060" w:type="dxa"/>
          </w:tcPr>
          <w:p w:rsidR="000D6874" w:rsidRDefault="000D6874" w:rsidP="00D25A8A">
            <w:pPr>
              <w:jc w:val="both"/>
            </w:pPr>
          </w:p>
          <w:p w:rsidR="000D6874" w:rsidRDefault="000D6874" w:rsidP="00D25A8A">
            <w:pPr>
              <w:jc w:val="both"/>
            </w:pPr>
          </w:p>
          <w:p w:rsidR="000D6874" w:rsidRDefault="000D6874" w:rsidP="00D25A8A">
            <w:pPr>
              <w:jc w:val="both"/>
            </w:pPr>
          </w:p>
          <w:p w:rsidR="000D6874" w:rsidRDefault="000D6874" w:rsidP="00D25A8A">
            <w:pPr>
              <w:jc w:val="both"/>
            </w:pPr>
          </w:p>
          <w:p w:rsidR="000D6874" w:rsidRDefault="000D6874" w:rsidP="00D25A8A">
            <w:pPr>
              <w:jc w:val="both"/>
            </w:pPr>
          </w:p>
          <w:p w:rsidR="000D6874" w:rsidRDefault="000D6874" w:rsidP="00D25A8A">
            <w:pPr>
              <w:jc w:val="both"/>
            </w:pPr>
          </w:p>
          <w:p w:rsidR="00D365C1" w:rsidRDefault="00D365C1" w:rsidP="00D25A8A">
            <w:pPr>
              <w:jc w:val="both"/>
            </w:pPr>
          </w:p>
          <w:p w:rsidR="00D365C1" w:rsidRDefault="00D365C1" w:rsidP="00D25A8A">
            <w:pPr>
              <w:jc w:val="both"/>
            </w:pPr>
          </w:p>
          <w:p w:rsidR="000C58A3" w:rsidRDefault="000C58A3" w:rsidP="00D25A8A">
            <w:pPr>
              <w:jc w:val="both"/>
            </w:pPr>
          </w:p>
          <w:p w:rsidR="000D6874" w:rsidRDefault="008A5070" w:rsidP="00D25A8A">
            <w:pPr>
              <w:jc w:val="both"/>
            </w:pPr>
            <w:r>
              <w:t>S. Leclerc</w:t>
            </w:r>
          </w:p>
          <w:p w:rsidR="000D6874" w:rsidRDefault="000D6874" w:rsidP="008A5070">
            <w:pPr>
              <w:jc w:val="both"/>
            </w:pPr>
          </w:p>
          <w:p w:rsidR="008A5070" w:rsidRDefault="008A5070" w:rsidP="008A5070">
            <w:pPr>
              <w:jc w:val="both"/>
            </w:pPr>
          </w:p>
          <w:p w:rsidR="008A5070" w:rsidRDefault="008A5070" w:rsidP="008A5070">
            <w:pPr>
              <w:jc w:val="both"/>
            </w:pPr>
          </w:p>
          <w:p w:rsidR="008A5070" w:rsidRDefault="008A5070" w:rsidP="008A5070">
            <w:pPr>
              <w:jc w:val="both"/>
            </w:pPr>
          </w:p>
          <w:p w:rsidR="008A5070" w:rsidRDefault="008A5070" w:rsidP="008A5070">
            <w:pPr>
              <w:jc w:val="both"/>
            </w:pPr>
          </w:p>
          <w:p w:rsidR="000C58A3" w:rsidRDefault="000C58A3" w:rsidP="008A5070">
            <w:pPr>
              <w:jc w:val="both"/>
            </w:pPr>
          </w:p>
          <w:p w:rsidR="000C58A3" w:rsidRDefault="000C58A3" w:rsidP="008A5070">
            <w:pPr>
              <w:jc w:val="both"/>
            </w:pPr>
          </w:p>
          <w:p w:rsidR="000C58A3" w:rsidRDefault="000C58A3" w:rsidP="008A5070">
            <w:pPr>
              <w:jc w:val="both"/>
            </w:pPr>
          </w:p>
          <w:p w:rsidR="000C58A3" w:rsidRDefault="000C58A3" w:rsidP="008A5070">
            <w:pPr>
              <w:jc w:val="both"/>
            </w:pPr>
          </w:p>
          <w:p w:rsidR="008A5070" w:rsidRDefault="00FC5C77" w:rsidP="008A5070">
            <w:pPr>
              <w:jc w:val="both"/>
            </w:pPr>
            <w:r>
              <w:t>A-M. DesRoches</w:t>
            </w:r>
          </w:p>
          <w:p w:rsidR="008A5070" w:rsidRDefault="008A5070" w:rsidP="008A5070">
            <w:pPr>
              <w:jc w:val="both"/>
            </w:pPr>
          </w:p>
          <w:p w:rsidR="008A5070" w:rsidRDefault="008A5070" w:rsidP="008A5070">
            <w:pPr>
              <w:jc w:val="both"/>
            </w:pPr>
          </w:p>
          <w:p w:rsidR="00FC5C77" w:rsidRDefault="00FC5C77" w:rsidP="00F23D04">
            <w:pPr>
              <w:jc w:val="both"/>
            </w:pPr>
          </w:p>
          <w:p w:rsidR="000C58A3" w:rsidRDefault="000C58A3" w:rsidP="00F23D04">
            <w:pPr>
              <w:jc w:val="both"/>
            </w:pPr>
          </w:p>
          <w:p w:rsidR="000C58A3" w:rsidRDefault="000C58A3" w:rsidP="00F23D04">
            <w:pPr>
              <w:jc w:val="both"/>
            </w:pPr>
          </w:p>
          <w:p w:rsidR="00FC5C77" w:rsidRDefault="000C58A3" w:rsidP="00F23D04">
            <w:pPr>
              <w:jc w:val="both"/>
            </w:pPr>
            <w:r>
              <w:t>J. Charlebois</w:t>
            </w:r>
          </w:p>
          <w:p w:rsidR="000C58A3" w:rsidRDefault="000C58A3" w:rsidP="00F23D04">
            <w:pPr>
              <w:jc w:val="both"/>
            </w:pPr>
          </w:p>
          <w:p w:rsidR="000C58A3" w:rsidRDefault="000C58A3" w:rsidP="00F23D04">
            <w:pPr>
              <w:jc w:val="both"/>
            </w:pPr>
          </w:p>
          <w:p w:rsidR="000C58A3" w:rsidRDefault="000C58A3" w:rsidP="00F23D04">
            <w:pPr>
              <w:jc w:val="both"/>
            </w:pPr>
          </w:p>
          <w:p w:rsidR="008A5070" w:rsidRDefault="008A5070" w:rsidP="00F23D04">
            <w:pPr>
              <w:jc w:val="both"/>
            </w:pPr>
            <w:r>
              <w:t xml:space="preserve">J. </w:t>
            </w:r>
            <w:r w:rsidR="00F23D04">
              <w:t xml:space="preserve">Charlebois </w:t>
            </w:r>
          </w:p>
        </w:tc>
        <w:tc>
          <w:tcPr>
            <w:tcW w:w="2506" w:type="dxa"/>
          </w:tcPr>
          <w:p w:rsidR="000D6874" w:rsidRDefault="000D6874" w:rsidP="001C46E8">
            <w:pPr>
              <w:jc w:val="both"/>
            </w:pPr>
          </w:p>
          <w:p w:rsidR="000D6874" w:rsidRDefault="000D6874" w:rsidP="001C46E8">
            <w:pPr>
              <w:jc w:val="both"/>
            </w:pPr>
          </w:p>
          <w:p w:rsidR="000D6874" w:rsidRDefault="000D6874" w:rsidP="001C46E8">
            <w:pPr>
              <w:jc w:val="both"/>
            </w:pPr>
          </w:p>
          <w:p w:rsidR="000D6874" w:rsidRDefault="000D6874" w:rsidP="001C46E8">
            <w:pPr>
              <w:jc w:val="both"/>
            </w:pPr>
          </w:p>
          <w:p w:rsidR="000D6874" w:rsidRDefault="000D6874" w:rsidP="001C46E8">
            <w:pPr>
              <w:jc w:val="both"/>
            </w:pPr>
          </w:p>
          <w:p w:rsidR="000D6874" w:rsidRDefault="000D6874" w:rsidP="001C46E8">
            <w:pPr>
              <w:jc w:val="both"/>
            </w:pPr>
          </w:p>
          <w:p w:rsidR="000D6874" w:rsidRDefault="000D6874" w:rsidP="008A5070">
            <w:pPr>
              <w:jc w:val="both"/>
            </w:pPr>
          </w:p>
        </w:tc>
      </w:tr>
      <w:tr w:rsidR="00F3284D" w:rsidTr="004C28D9">
        <w:trPr>
          <w:trHeight w:val="794"/>
        </w:trPr>
        <w:tc>
          <w:tcPr>
            <w:tcW w:w="5508" w:type="dxa"/>
          </w:tcPr>
          <w:p w:rsidR="00683154" w:rsidRPr="00683154" w:rsidRDefault="00683154" w:rsidP="00683154">
            <w:pPr>
              <w:spacing w:line="480" w:lineRule="auto"/>
              <w:rPr>
                <w:rFonts w:ascii="Calibri" w:hAnsi="Calibri" w:cs="Arial"/>
                <w:b/>
              </w:rPr>
            </w:pPr>
            <w:r w:rsidRPr="00683154">
              <w:rPr>
                <w:rFonts w:ascii="Calibri" w:hAnsi="Calibri" w:cs="Arial"/>
                <w:b/>
              </w:rPr>
              <w:t xml:space="preserve">Plan de travail en accompagnement  </w:t>
            </w:r>
          </w:p>
          <w:p w:rsidR="00D365C1" w:rsidRDefault="00FC5C77" w:rsidP="00FC5C77">
            <w:pPr>
              <w:pStyle w:val="Paragraphedeliste"/>
              <w:numPr>
                <w:ilvl w:val="0"/>
                <w:numId w:val="3"/>
              </w:numPr>
              <w:ind w:left="180" w:hanging="180"/>
              <w:jc w:val="both"/>
            </w:pPr>
            <w:r>
              <w:t>G. Paquette présente le plan de travail qu’elle a élaboré. Une copie est déposée aux membres du comité. Entre autres, on discute de l’activité d’appropriation du cadre de référence Gazelle et Potiron prévue le 25 avril avec les Bureaux coordonnateurs (BC).  Les agentes de soutien pédagogique sont invitées à cette activité</w:t>
            </w:r>
            <w:r w:rsidR="00AC1202">
              <w:t xml:space="preserve">, </w:t>
            </w:r>
            <w:r>
              <w:t xml:space="preserve">mais on mentionne aussi l’intérêt de diffuser l’information aux agentes de conformité qui pourraient être rencontrées dans un </w:t>
            </w:r>
            <w:r w:rsidR="00D365C1">
              <w:t xml:space="preserve">autre </w:t>
            </w:r>
            <w:r>
              <w:t>temps.</w:t>
            </w:r>
          </w:p>
          <w:p w:rsidR="00D365C1" w:rsidRDefault="00D365C1" w:rsidP="00D365C1">
            <w:pPr>
              <w:pStyle w:val="Paragraphedeliste"/>
              <w:ind w:left="180"/>
              <w:jc w:val="both"/>
            </w:pPr>
          </w:p>
          <w:p w:rsidR="00D365C1" w:rsidRDefault="00D365C1" w:rsidP="00BA7610">
            <w:pPr>
              <w:pStyle w:val="Paragraphedeliste"/>
              <w:numPr>
                <w:ilvl w:val="0"/>
                <w:numId w:val="3"/>
              </w:numPr>
              <w:ind w:left="180" w:hanging="180"/>
              <w:jc w:val="both"/>
            </w:pPr>
            <w:r>
              <w:t xml:space="preserve">On rappelle que les CPE sont ciblés dans une deuxième phase avec un contenu plus spécifique en lien avec le jeu libre et actif puisque le sondage démontre une bonne appropriation du cadre de référence Gazelle et Potiron. </w:t>
            </w:r>
          </w:p>
          <w:p w:rsidR="00D365C1" w:rsidRDefault="00D365C1" w:rsidP="00D365C1">
            <w:pPr>
              <w:pStyle w:val="Paragraphedeliste"/>
            </w:pPr>
          </w:p>
          <w:p w:rsidR="00964FF5" w:rsidRDefault="00D365C1" w:rsidP="00D365C1">
            <w:pPr>
              <w:pStyle w:val="Paragraphedeliste"/>
              <w:numPr>
                <w:ilvl w:val="0"/>
                <w:numId w:val="3"/>
              </w:numPr>
              <w:ind w:left="180" w:hanging="180"/>
              <w:jc w:val="both"/>
            </w:pPr>
            <w:r>
              <w:t xml:space="preserve">M-P. Boucher nous parle de la formation « ISCOPE »  consistant en 3 jours de formations déployés à la fin de chaque mois aux agentes de soutien pédagogiques et des directions des CPE. À considérer dans l’établissement de notre calendrier de formation afin de ne pas surcharger les agendas des CPE. </w:t>
            </w:r>
          </w:p>
        </w:tc>
        <w:tc>
          <w:tcPr>
            <w:tcW w:w="2970" w:type="dxa"/>
          </w:tcPr>
          <w:p w:rsidR="00F3284D" w:rsidRDefault="00F8646B" w:rsidP="00F8646B">
            <w:r>
              <w:t xml:space="preserve"> </w:t>
            </w:r>
          </w:p>
          <w:p w:rsidR="00DA1838" w:rsidRDefault="00DA1838" w:rsidP="00F8646B"/>
          <w:p w:rsidR="00DA1838" w:rsidRDefault="00DA1838" w:rsidP="00AC1202">
            <w:pPr>
              <w:jc w:val="both"/>
            </w:pPr>
            <w:r>
              <w:rPr>
                <w:rFonts w:cs="Arial"/>
              </w:rPr>
              <w:t>Il est proposé d’inclure dans la pochette des participantes une copie du TONUS ainsi qu’un signet de la Concertation.</w:t>
            </w:r>
          </w:p>
        </w:tc>
        <w:tc>
          <w:tcPr>
            <w:tcW w:w="3060" w:type="dxa"/>
          </w:tcPr>
          <w:p w:rsidR="00F8646B" w:rsidRDefault="00F8646B" w:rsidP="00920AB1">
            <w:pPr>
              <w:jc w:val="both"/>
            </w:pPr>
          </w:p>
          <w:p w:rsidR="00DA1838" w:rsidRDefault="00DA1838" w:rsidP="00920AB1">
            <w:pPr>
              <w:jc w:val="both"/>
            </w:pPr>
          </w:p>
          <w:p w:rsidR="00AC1202" w:rsidRDefault="00DA1838" w:rsidP="00DA1838">
            <w:pPr>
              <w:jc w:val="both"/>
            </w:pPr>
            <w:r>
              <w:t>A-M. DesRoches produit un signet</w:t>
            </w:r>
            <w:r w:rsidR="00AC1202">
              <w:t>.</w:t>
            </w:r>
          </w:p>
          <w:p w:rsidR="00DA1838" w:rsidRDefault="00DA1838" w:rsidP="00DA1838">
            <w:pPr>
              <w:jc w:val="both"/>
            </w:pPr>
            <w:r>
              <w:t xml:space="preserve">J. Charlebois imprime les copies nécessaires pour insérer dans les pochettes. </w:t>
            </w:r>
          </w:p>
        </w:tc>
        <w:tc>
          <w:tcPr>
            <w:tcW w:w="2506" w:type="dxa"/>
          </w:tcPr>
          <w:p w:rsidR="005B3748" w:rsidRDefault="005B3748" w:rsidP="0020583D">
            <w:pPr>
              <w:jc w:val="both"/>
            </w:pPr>
          </w:p>
        </w:tc>
      </w:tr>
      <w:tr w:rsidR="00F3284D" w:rsidTr="00BA7610">
        <w:trPr>
          <w:trHeight w:val="2080"/>
        </w:trPr>
        <w:tc>
          <w:tcPr>
            <w:tcW w:w="5508" w:type="dxa"/>
          </w:tcPr>
          <w:p w:rsidR="00683154" w:rsidRDefault="00683154" w:rsidP="000C58A3">
            <w:pPr>
              <w:rPr>
                <w:rFonts w:cs="Arial"/>
                <w:b/>
              </w:rPr>
            </w:pPr>
            <w:r w:rsidRPr="00683154">
              <w:rPr>
                <w:rFonts w:cs="Arial"/>
                <w:b/>
              </w:rPr>
              <w:lastRenderedPageBreak/>
              <w:t xml:space="preserve">Tournée des territoires et recension des actions-outils </w:t>
            </w:r>
          </w:p>
          <w:p w:rsidR="00D365C1" w:rsidRPr="00A20A3B" w:rsidRDefault="00BA7610" w:rsidP="00AC1202">
            <w:pPr>
              <w:pStyle w:val="Paragraphedeliste"/>
              <w:numPr>
                <w:ilvl w:val="0"/>
                <w:numId w:val="7"/>
              </w:numPr>
              <w:ind w:left="180" w:hanging="270"/>
              <w:jc w:val="both"/>
              <w:rPr>
                <w:rFonts w:cs="Arial"/>
              </w:rPr>
            </w:pPr>
            <w:r w:rsidRPr="00A20A3B">
              <w:rPr>
                <w:rFonts w:cs="Arial"/>
              </w:rPr>
              <w:t xml:space="preserve">G. Paquette et J. Charlebois ont rencontré les coordonnateurs des RLP et les ressources de proximité de  tous les territoires afin de recenser les outils/activités qu’ils réalisent et identifier les besoins. Un répertoire des ressources sera produit et diffusé à tous.     </w:t>
            </w:r>
          </w:p>
          <w:p w:rsidR="00AD0B52" w:rsidRPr="00D85CF7" w:rsidRDefault="00F8646B" w:rsidP="009B4346">
            <w:pPr>
              <w:pStyle w:val="Paragraphedeliste"/>
              <w:ind w:left="180"/>
              <w:jc w:val="both"/>
            </w:pPr>
            <w:r>
              <w:t xml:space="preserve"> </w:t>
            </w:r>
          </w:p>
        </w:tc>
        <w:tc>
          <w:tcPr>
            <w:tcW w:w="2970" w:type="dxa"/>
          </w:tcPr>
          <w:p w:rsidR="00AD0B52" w:rsidRDefault="00964FF5" w:rsidP="00DE5093">
            <w:pPr>
              <w:jc w:val="both"/>
            </w:pPr>
            <w:r>
              <w:t xml:space="preserve"> </w:t>
            </w:r>
          </w:p>
          <w:p w:rsidR="009B4346" w:rsidRDefault="009B4346" w:rsidP="00DE5093">
            <w:pPr>
              <w:jc w:val="both"/>
            </w:pPr>
          </w:p>
          <w:p w:rsidR="00BA7610" w:rsidRDefault="00BA7610" w:rsidP="00AC1202">
            <w:pPr>
              <w:jc w:val="both"/>
            </w:pPr>
            <w:r>
              <w:t>Identifie</w:t>
            </w:r>
            <w:r w:rsidR="000C58A3">
              <w:t>r</w:t>
            </w:r>
            <w:r>
              <w:t xml:space="preserve"> une signature visuelle pour présenter les informations inscrites au répertoire.  </w:t>
            </w:r>
          </w:p>
          <w:p w:rsidR="009B4346" w:rsidRDefault="009B4346" w:rsidP="00DE5093">
            <w:pPr>
              <w:jc w:val="both"/>
            </w:pPr>
          </w:p>
          <w:p w:rsidR="00D85CF7" w:rsidRDefault="00D85CF7" w:rsidP="00683154">
            <w:pPr>
              <w:jc w:val="both"/>
            </w:pPr>
          </w:p>
        </w:tc>
        <w:tc>
          <w:tcPr>
            <w:tcW w:w="3060" w:type="dxa"/>
          </w:tcPr>
          <w:p w:rsidR="00AD0B52" w:rsidRDefault="00AD0B52" w:rsidP="00AD0B52">
            <w:pPr>
              <w:jc w:val="both"/>
            </w:pPr>
            <w:r>
              <w:t xml:space="preserve"> </w:t>
            </w:r>
          </w:p>
          <w:p w:rsidR="00BA7610" w:rsidRDefault="00BA7610" w:rsidP="00AD0B52">
            <w:pPr>
              <w:jc w:val="both"/>
            </w:pPr>
          </w:p>
          <w:p w:rsidR="00BA7610" w:rsidRDefault="00BA7610" w:rsidP="00AD0B52">
            <w:pPr>
              <w:jc w:val="both"/>
            </w:pPr>
            <w:r>
              <w:t>G. Paquette</w:t>
            </w:r>
          </w:p>
          <w:p w:rsidR="00BA7610" w:rsidRDefault="00BA7610" w:rsidP="000C58A3">
            <w:pPr>
              <w:jc w:val="both"/>
            </w:pPr>
            <w:r>
              <w:t>A-M. DesRoches pour le soutien à la diffusio</w:t>
            </w:r>
            <w:r w:rsidR="00AC1202">
              <w:t>n.</w:t>
            </w:r>
          </w:p>
        </w:tc>
        <w:tc>
          <w:tcPr>
            <w:tcW w:w="2506" w:type="dxa"/>
          </w:tcPr>
          <w:p w:rsidR="00AD0B52" w:rsidRDefault="00AD0B52" w:rsidP="0020583D">
            <w:pPr>
              <w:jc w:val="both"/>
            </w:pPr>
          </w:p>
          <w:p w:rsidR="00AD0B52" w:rsidRDefault="00AD0B52" w:rsidP="0020583D">
            <w:pPr>
              <w:jc w:val="both"/>
            </w:pPr>
          </w:p>
          <w:p w:rsidR="009B4346" w:rsidRDefault="00BA7610" w:rsidP="0020583D">
            <w:pPr>
              <w:jc w:val="both"/>
            </w:pPr>
            <w:r>
              <w:t>Automne 2018</w:t>
            </w:r>
          </w:p>
          <w:p w:rsidR="00AD0B52" w:rsidRDefault="00AD0B52" w:rsidP="009B4346">
            <w:pPr>
              <w:jc w:val="both"/>
            </w:pPr>
          </w:p>
        </w:tc>
      </w:tr>
      <w:tr w:rsidR="00683154" w:rsidTr="004C28D9">
        <w:trPr>
          <w:trHeight w:val="794"/>
        </w:trPr>
        <w:tc>
          <w:tcPr>
            <w:tcW w:w="5508" w:type="dxa"/>
          </w:tcPr>
          <w:p w:rsidR="00683154" w:rsidRDefault="00683154" w:rsidP="00AC1202">
            <w:pPr>
              <w:spacing w:line="480" w:lineRule="auto"/>
              <w:jc w:val="both"/>
              <w:rPr>
                <w:rFonts w:cs="Arial"/>
                <w:b/>
              </w:rPr>
            </w:pPr>
            <w:r w:rsidRPr="00683154">
              <w:rPr>
                <w:rFonts w:cs="Arial"/>
                <w:b/>
              </w:rPr>
              <w:t>Formations à venir</w:t>
            </w:r>
          </w:p>
          <w:p w:rsidR="00BA7610" w:rsidRDefault="00BA7610" w:rsidP="00AC1202">
            <w:pPr>
              <w:pStyle w:val="Paragraphedeliste"/>
              <w:numPr>
                <w:ilvl w:val="0"/>
                <w:numId w:val="3"/>
              </w:numPr>
              <w:ind w:left="270" w:hanging="270"/>
              <w:jc w:val="both"/>
              <w:rPr>
                <w:rFonts w:cs="Arial"/>
              </w:rPr>
            </w:pPr>
            <w:r>
              <w:rPr>
                <w:rFonts w:cs="Arial"/>
              </w:rPr>
              <w:t>Les prochaines formations prévues s’adresseront aux Responsables de services de garde (RSG). L’organisation de celles-ci sera à discuter avec les BC lors de la formation du 25 avril.</w:t>
            </w:r>
            <w:r w:rsidR="00DA1838">
              <w:rPr>
                <w:rFonts w:cs="Arial"/>
              </w:rPr>
              <w:t xml:space="preserve"> </w:t>
            </w:r>
          </w:p>
          <w:p w:rsidR="00BA7610" w:rsidRDefault="00BA7610" w:rsidP="00AC1202">
            <w:pPr>
              <w:pStyle w:val="Paragraphedeliste"/>
              <w:ind w:left="270"/>
              <w:jc w:val="both"/>
              <w:rPr>
                <w:rFonts w:cs="Arial"/>
              </w:rPr>
            </w:pPr>
          </w:p>
          <w:p w:rsidR="00DA1838" w:rsidRDefault="00BA7610" w:rsidP="00AC1202">
            <w:pPr>
              <w:pStyle w:val="Paragraphedeliste"/>
              <w:numPr>
                <w:ilvl w:val="0"/>
                <w:numId w:val="3"/>
              </w:numPr>
              <w:ind w:left="270" w:hanging="270"/>
              <w:jc w:val="both"/>
              <w:rPr>
                <w:rFonts w:cs="Arial"/>
              </w:rPr>
            </w:pPr>
            <w:r w:rsidRPr="00DA1838">
              <w:rPr>
                <w:rFonts w:cs="Arial"/>
              </w:rPr>
              <w:t xml:space="preserve">Les partenaires de la Vallée-de-la-Gatineau ont identifié un besoin de formation sur le jeu libre. Ils souhaitent offrir ce contenu dès l’automne 2018. Cela pourrait servir de territoire « pilote » pour expérimenter un contenu </w:t>
            </w:r>
            <w:r w:rsidR="000C58A3">
              <w:rPr>
                <w:rFonts w:cs="Arial"/>
              </w:rPr>
              <w:t>à</w:t>
            </w:r>
            <w:r w:rsidRPr="00DA1838">
              <w:rPr>
                <w:rFonts w:cs="Arial"/>
              </w:rPr>
              <w:t xml:space="preserve"> off</w:t>
            </w:r>
            <w:r w:rsidR="000C58A3">
              <w:rPr>
                <w:rFonts w:cs="Arial"/>
              </w:rPr>
              <w:t>rir ensuite</w:t>
            </w:r>
            <w:r w:rsidRPr="00DA1838">
              <w:rPr>
                <w:rFonts w:cs="Arial"/>
              </w:rPr>
              <w:t xml:space="preserve"> aux autres territoires.</w:t>
            </w:r>
          </w:p>
          <w:p w:rsidR="00DA1838" w:rsidRPr="00DA1838" w:rsidRDefault="00DA1838" w:rsidP="00AC1202">
            <w:pPr>
              <w:pStyle w:val="Paragraphedeliste"/>
              <w:jc w:val="both"/>
              <w:rPr>
                <w:rFonts w:cs="Arial"/>
              </w:rPr>
            </w:pPr>
          </w:p>
          <w:p w:rsidR="00DA1838" w:rsidRDefault="00DA1838" w:rsidP="00AC1202">
            <w:pPr>
              <w:pStyle w:val="Paragraphedeliste"/>
              <w:numPr>
                <w:ilvl w:val="0"/>
                <w:numId w:val="3"/>
              </w:numPr>
              <w:ind w:left="270" w:hanging="270"/>
              <w:jc w:val="both"/>
              <w:rPr>
                <w:rFonts w:cs="Arial"/>
              </w:rPr>
            </w:pPr>
            <w:r w:rsidRPr="00A20A3B">
              <w:rPr>
                <w:rFonts w:cs="Arial"/>
              </w:rPr>
              <w:t xml:space="preserve">Un chantier de réflexion sur la thématique de la sécurité bien dosée est proposé. </w:t>
            </w:r>
          </w:p>
          <w:p w:rsidR="00A20A3B" w:rsidRPr="00A20A3B" w:rsidRDefault="00A20A3B" w:rsidP="00AC1202">
            <w:pPr>
              <w:pStyle w:val="Paragraphedeliste"/>
              <w:jc w:val="both"/>
              <w:rPr>
                <w:rFonts w:cs="Arial"/>
              </w:rPr>
            </w:pPr>
          </w:p>
          <w:p w:rsidR="00DA1838" w:rsidRDefault="00DA1838" w:rsidP="00AC1202">
            <w:pPr>
              <w:pStyle w:val="Paragraphedeliste"/>
              <w:numPr>
                <w:ilvl w:val="0"/>
                <w:numId w:val="3"/>
              </w:numPr>
              <w:ind w:left="270" w:hanging="270"/>
              <w:jc w:val="both"/>
              <w:rPr>
                <w:rFonts w:cs="Arial"/>
              </w:rPr>
            </w:pPr>
            <w:r>
              <w:rPr>
                <w:rFonts w:cs="Arial"/>
              </w:rPr>
              <w:t>L’idée est soulevée de distribuer une infographie aux parents sur le sujet du jeu libre afin de soutenir des orientations qui seraient prises en CPE.</w:t>
            </w:r>
          </w:p>
          <w:p w:rsidR="00DA1838" w:rsidRPr="00DA1838" w:rsidRDefault="00DA1838" w:rsidP="00DA1838">
            <w:pPr>
              <w:rPr>
                <w:rFonts w:cs="Arial"/>
              </w:rPr>
            </w:pPr>
          </w:p>
        </w:tc>
        <w:tc>
          <w:tcPr>
            <w:tcW w:w="2970" w:type="dxa"/>
          </w:tcPr>
          <w:p w:rsidR="00683154" w:rsidRDefault="00683154"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Default="00A20A3B" w:rsidP="00DE5093">
            <w:pPr>
              <w:jc w:val="both"/>
            </w:pPr>
          </w:p>
          <w:p w:rsidR="00A20A3B" w:rsidRPr="00A20A3B" w:rsidRDefault="00A20A3B" w:rsidP="00AC1202">
            <w:pPr>
              <w:jc w:val="both"/>
              <w:rPr>
                <w:rFonts w:cs="Arial"/>
              </w:rPr>
            </w:pPr>
            <w:r w:rsidRPr="00A20A3B">
              <w:rPr>
                <w:rFonts w:cs="Arial"/>
              </w:rPr>
              <w:t xml:space="preserve">Les participants sont C. </w:t>
            </w:r>
            <w:proofErr w:type="spellStart"/>
            <w:r w:rsidRPr="00A20A3B">
              <w:rPr>
                <w:rFonts w:cs="Arial"/>
              </w:rPr>
              <w:t>Clements</w:t>
            </w:r>
            <w:proofErr w:type="spellEnd"/>
            <w:r w:rsidRPr="00A20A3B">
              <w:rPr>
                <w:rFonts w:cs="Arial"/>
              </w:rPr>
              <w:t>, É. Soutière, M-P. Boucher, A-M DesRoches,</w:t>
            </w:r>
            <w:r>
              <w:rPr>
                <w:rFonts w:cs="Arial"/>
              </w:rPr>
              <w:t xml:space="preserve"> </w:t>
            </w:r>
            <w:r w:rsidRPr="00A20A3B">
              <w:rPr>
                <w:rFonts w:cs="Arial"/>
              </w:rPr>
              <w:t>G. Paquette.</w:t>
            </w:r>
          </w:p>
          <w:p w:rsidR="00A20A3B" w:rsidRDefault="00A20A3B" w:rsidP="00DE5093">
            <w:pPr>
              <w:jc w:val="both"/>
            </w:pPr>
          </w:p>
        </w:tc>
        <w:tc>
          <w:tcPr>
            <w:tcW w:w="3060" w:type="dxa"/>
          </w:tcPr>
          <w:p w:rsidR="00683154" w:rsidRDefault="00683154"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p w:rsidR="00A20A3B" w:rsidRDefault="00A20A3B" w:rsidP="009B4346"/>
        </w:tc>
        <w:tc>
          <w:tcPr>
            <w:tcW w:w="2506" w:type="dxa"/>
          </w:tcPr>
          <w:p w:rsidR="00683154" w:rsidRDefault="00683154"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AC1202">
            <w:r>
              <w:t xml:space="preserve">Une première rencontre est prévue en juin. </w:t>
            </w:r>
          </w:p>
          <w:p w:rsidR="00A20A3B" w:rsidRDefault="00A20A3B" w:rsidP="0020583D">
            <w:pPr>
              <w:jc w:val="both"/>
            </w:pPr>
          </w:p>
          <w:p w:rsidR="00A20A3B" w:rsidRDefault="00A20A3B" w:rsidP="0020583D">
            <w:pPr>
              <w:jc w:val="both"/>
            </w:pPr>
          </w:p>
          <w:p w:rsidR="00A20A3B" w:rsidRDefault="00A20A3B" w:rsidP="0020583D">
            <w:pPr>
              <w:jc w:val="both"/>
            </w:pPr>
          </w:p>
          <w:p w:rsidR="00A20A3B" w:rsidRDefault="00A20A3B" w:rsidP="0020583D">
            <w:pPr>
              <w:jc w:val="both"/>
            </w:pPr>
          </w:p>
        </w:tc>
      </w:tr>
      <w:tr w:rsidR="005B3748" w:rsidTr="004C28D9">
        <w:trPr>
          <w:trHeight w:val="794"/>
        </w:trPr>
        <w:tc>
          <w:tcPr>
            <w:tcW w:w="5508" w:type="dxa"/>
          </w:tcPr>
          <w:p w:rsidR="005B3748" w:rsidRDefault="005B3748" w:rsidP="005B3748">
            <w:pPr>
              <w:jc w:val="both"/>
              <w:rPr>
                <w:b/>
              </w:rPr>
            </w:pPr>
            <w:r w:rsidRPr="005B3748">
              <w:rPr>
                <w:b/>
              </w:rPr>
              <w:t>Prochaine rencontre du comité</w:t>
            </w:r>
            <w:r>
              <w:rPr>
                <w:b/>
              </w:rPr>
              <w:t> :</w:t>
            </w:r>
          </w:p>
          <w:p w:rsidR="005B3748" w:rsidRPr="005B3748" w:rsidRDefault="00DA1838" w:rsidP="00AC1202">
            <w:pPr>
              <w:jc w:val="both"/>
            </w:pPr>
            <w:r>
              <w:t>La prochaine rencontre est fixée au 19 juin à 9</w:t>
            </w:r>
            <w:r w:rsidR="00AC1202">
              <w:t> </w:t>
            </w:r>
            <w:r>
              <w:t>h</w:t>
            </w:r>
            <w:r w:rsidR="00AC1202">
              <w:t> </w:t>
            </w:r>
            <w:r>
              <w:t>30 au Cégep</w:t>
            </w:r>
            <w:r w:rsidR="00AC1202">
              <w:t xml:space="preserve">, au </w:t>
            </w:r>
            <w:r>
              <w:t xml:space="preserve">campus Félix-Leclerc dans le secteur Gatineau. </w:t>
            </w:r>
          </w:p>
        </w:tc>
        <w:tc>
          <w:tcPr>
            <w:tcW w:w="2970" w:type="dxa"/>
          </w:tcPr>
          <w:p w:rsidR="005B3748" w:rsidRDefault="005B3748" w:rsidP="00DE5093">
            <w:pPr>
              <w:jc w:val="both"/>
            </w:pPr>
          </w:p>
        </w:tc>
        <w:tc>
          <w:tcPr>
            <w:tcW w:w="3060" w:type="dxa"/>
          </w:tcPr>
          <w:p w:rsidR="005B3748" w:rsidRDefault="005B3748" w:rsidP="00BA7610"/>
        </w:tc>
        <w:tc>
          <w:tcPr>
            <w:tcW w:w="2506" w:type="dxa"/>
          </w:tcPr>
          <w:p w:rsidR="005B3748" w:rsidRDefault="005B3748" w:rsidP="005B3748">
            <w:pPr>
              <w:jc w:val="both"/>
            </w:pPr>
          </w:p>
        </w:tc>
      </w:tr>
    </w:tbl>
    <w:p w:rsidR="00F8646B" w:rsidRPr="00AA25C5" w:rsidRDefault="00F8646B" w:rsidP="00020B93">
      <w:pPr>
        <w:spacing w:after="0" w:line="240" w:lineRule="auto"/>
      </w:pPr>
    </w:p>
    <w:sectPr w:rsidR="00F8646B" w:rsidRPr="00AA25C5" w:rsidSect="00165A21">
      <w:type w:val="continuous"/>
      <w:pgSz w:w="15840" w:h="12240" w:orient="landscape"/>
      <w:pgMar w:top="709"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4F" w:rsidRDefault="00C3504F" w:rsidP="00AC1202">
      <w:pPr>
        <w:spacing w:after="0" w:line="240" w:lineRule="auto"/>
      </w:pPr>
      <w:r>
        <w:separator/>
      </w:r>
    </w:p>
  </w:endnote>
  <w:endnote w:type="continuationSeparator" w:id="0">
    <w:p w:rsidR="00C3504F" w:rsidRDefault="00C3504F" w:rsidP="00AC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02" w:rsidRDefault="00AC12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02" w:rsidRDefault="00AC120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02" w:rsidRDefault="00AC12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4F" w:rsidRDefault="00C3504F" w:rsidP="00AC1202">
      <w:pPr>
        <w:spacing w:after="0" w:line="240" w:lineRule="auto"/>
      </w:pPr>
      <w:r>
        <w:separator/>
      </w:r>
    </w:p>
  </w:footnote>
  <w:footnote w:type="continuationSeparator" w:id="0">
    <w:p w:rsidR="00C3504F" w:rsidRDefault="00C3504F" w:rsidP="00AC1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02" w:rsidRDefault="00AC12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02" w:rsidRDefault="00AC120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02" w:rsidRDefault="00AC12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FC0"/>
    <w:multiLevelType w:val="hybridMultilevel"/>
    <w:tmpl w:val="BB3EE52A"/>
    <w:lvl w:ilvl="0" w:tplc="60B69FC6">
      <w:start w:val="1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6718C1"/>
    <w:multiLevelType w:val="hybridMultilevel"/>
    <w:tmpl w:val="B8DA03CE"/>
    <w:lvl w:ilvl="0" w:tplc="60B69FC6">
      <w:start w:val="1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375931"/>
    <w:multiLevelType w:val="hybridMultilevel"/>
    <w:tmpl w:val="F0DCDFCA"/>
    <w:lvl w:ilvl="0" w:tplc="0C0C000F">
      <w:start w:val="1"/>
      <w:numFmt w:val="decimal"/>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32D55D6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E610AE"/>
    <w:multiLevelType w:val="hybridMultilevel"/>
    <w:tmpl w:val="1C02CCCE"/>
    <w:lvl w:ilvl="0" w:tplc="60B69FC6">
      <w:start w:val="1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64A5FA9"/>
    <w:multiLevelType w:val="hybridMultilevel"/>
    <w:tmpl w:val="6D98EC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5325DE7"/>
    <w:multiLevelType w:val="hybridMultilevel"/>
    <w:tmpl w:val="63983A78"/>
    <w:lvl w:ilvl="0" w:tplc="60B69FC6">
      <w:start w:val="10"/>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DB"/>
    <w:rsid w:val="00020B93"/>
    <w:rsid w:val="000C58A3"/>
    <w:rsid w:val="000D6874"/>
    <w:rsid w:val="00114EB6"/>
    <w:rsid w:val="0011520F"/>
    <w:rsid w:val="00163A7F"/>
    <w:rsid w:val="00165A21"/>
    <w:rsid w:val="001C46E8"/>
    <w:rsid w:val="001C57B0"/>
    <w:rsid w:val="0020583D"/>
    <w:rsid w:val="00217811"/>
    <w:rsid w:val="00262E80"/>
    <w:rsid w:val="002733DE"/>
    <w:rsid w:val="002735BF"/>
    <w:rsid w:val="002A49D0"/>
    <w:rsid w:val="002F7393"/>
    <w:rsid w:val="0038062A"/>
    <w:rsid w:val="00434605"/>
    <w:rsid w:val="00443D0D"/>
    <w:rsid w:val="00482970"/>
    <w:rsid w:val="004C28D9"/>
    <w:rsid w:val="004D27A2"/>
    <w:rsid w:val="005B3748"/>
    <w:rsid w:val="006414A3"/>
    <w:rsid w:val="00671E02"/>
    <w:rsid w:val="00683154"/>
    <w:rsid w:val="006B5BE8"/>
    <w:rsid w:val="007024F8"/>
    <w:rsid w:val="00745B0E"/>
    <w:rsid w:val="007C047E"/>
    <w:rsid w:val="007F459C"/>
    <w:rsid w:val="007F5CC6"/>
    <w:rsid w:val="00826D29"/>
    <w:rsid w:val="0085604B"/>
    <w:rsid w:val="00867C68"/>
    <w:rsid w:val="008845BC"/>
    <w:rsid w:val="008A5070"/>
    <w:rsid w:val="008D3ECB"/>
    <w:rsid w:val="00920AB1"/>
    <w:rsid w:val="00941B89"/>
    <w:rsid w:val="00945339"/>
    <w:rsid w:val="00964FF5"/>
    <w:rsid w:val="009B0B1F"/>
    <w:rsid w:val="009B4346"/>
    <w:rsid w:val="00A20A3B"/>
    <w:rsid w:val="00A86AFE"/>
    <w:rsid w:val="00AA25C5"/>
    <w:rsid w:val="00AC1202"/>
    <w:rsid w:val="00AD0B52"/>
    <w:rsid w:val="00AE697E"/>
    <w:rsid w:val="00B13ADF"/>
    <w:rsid w:val="00B17495"/>
    <w:rsid w:val="00B441C1"/>
    <w:rsid w:val="00BA7610"/>
    <w:rsid w:val="00C3504F"/>
    <w:rsid w:val="00CE7DDB"/>
    <w:rsid w:val="00CF5E83"/>
    <w:rsid w:val="00D25A8A"/>
    <w:rsid w:val="00D365C1"/>
    <w:rsid w:val="00D85CF7"/>
    <w:rsid w:val="00DA1838"/>
    <w:rsid w:val="00DD6650"/>
    <w:rsid w:val="00DE5093"/>
    <w:rsid w:val="00E22BC6"/>
    <w:rsid w:val="00E27F1B"/>
    <w:rsid w:val="00E329AC"/>
    <w:rsid w:val="00E87E56"/>
    <w:rsid w:val="00E96908"/>
    <w:rsid w:val="00EB079D"/>
    <w:rsid w:val="00F124AE"/>
    <w:rsid w:val="00F23D04"/>
    <w:rsid w:val="00F3284D"/>
    <w:rsid w:val="00F52836"/>
    <w:rsid w:val="00F8646B"/>
    <w:rsid w:val="00FC5C77"/>
    <w:rsid w:val="00FE52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7FC77-0AD8-4E83-85D3-A6181ADA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E7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E7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CE7D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7DDB"/>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E7DD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E7DD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E969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6908"/>
    <w:rPr>
      <w:rFonts w:ascii="Tahoma" w:hAnsi="Tahoma" w:cs="Tahoma"/>
      <w:sz w:val="16"/>
      <w:szCs w:val="16"/>
    </w:rPr>
  </w:style>
  <w:style w:type="paragraph" w:styleId="Paragraphedeliste">
    <w:name w:val="List Paragraph"/>
    <w:basedOn w:val="Normal"/>
    <w:uiPriority w:val="34"/>
    <w:qFormat/>
    <w:rsid w:val="00E87E56"/>
    <w:pPr>
      <w:ind w:left="720"/>
      <w:contextualSpacing/>
    </w:pPr>
  </w:style>
  <w:style w:type="paragraph" w:customStyle="1" w:styleId="Default">
    <w:name w:val="Default"/>
    <w:rsid w:val="00D25A8A"/>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AC1202"/>
    <w:pPr>
      <w:tabs>
        <w:tab w:val="center" w:pos="4320"/>
        <w:tab w:val="right" w:pos="8640"/>
      </w:tabs>
      <w:spacing w:after="0" w:line="240" w:lineRule="auto"/>
    </w:pPr>
  </w:style>
  <w:style w:type="character" w:customStyle="1" w:styleId="En-tteCar">
    <w:name w:val="En-tête Car"/>
    <w:basedOn w:val="Policepardfaut"/>
    <w:link w:val="En-tte"/>
    <w:uiPriority w:val="99"/>
    <w:rsid w:val="00AC1202"/>
  </w:style>
  <w:style w:type="paragraph" w:styleId="Pieddepage">
    <w:name w:val="footer"/>
    <w:basedOn w:val="Normal"/>
    <w:link w:val="PieddepageCar"/>
    <w:uiPriority w:val="99"/>
    <w:unhideWhenUsed/>
    <w:rsid w:val="00AC12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Agence de santé et des services sociaux Outaouais</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Girard</dc:creator>
  <cp:lastModifiedBy>Anne-Marie DesRoches</cp:lastModifiedBy>
  <cp:revision>2</cp:revision>
  <cp:lastPrinted>2017-12-13T22:30:00Z</cp:lastPrinted>
  <dcterms:created xsi:type="dcterms:W3CDTF">2018-07-03T11:02:00Z</dcterms:created>
  <dcterms:modified xsi:type="dcterms:W3CDTF">2018-07-03T11:02:00Z</dcterms:modified>
</cp:coreProperties>
</file>