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7E" w:rsidRPr="00671E02" w:rsidRDefault="004D27A2" w:rsidP="002F7393">
      <w:pPr>
        <w:pStyle w:val="Titre1"/>
        <w:spacing w:before="240" w:after="120" w:line="240" w:lineRule="auto"/>
        <w:ind w:left="-142"/>
        <w:rPr>
          <w:color w:val="9BBB59" w:themeColor="accent3"/>
        </w:rPr>
      </w:pPr>
      <w:bookmarkStart w:id="0" w:name="_GoBack"/>
      <w:bookmarkEnd w:id="0"/>
      <w:r w:rsidRPr="00671E02">
        <w:rPr>
          <w:noProof/>
          <w:color w:val="9BBB59" w:themeColor="accent3"/>
          <w:lang w:eastAsia="fr-CA"/>
        </w:rPr>
        <w:drawing>
          <wp:anchor distT="0" distB="0" distL="114300" distR="114300" simplePos="0" relativeHeight="251658240" behindDoc="0" locked="0" layoutInCell="1" allowOverlap="1" wp14:anchorId="4E97C084" wp14:editId="2EC15821">
            <wp:simplePos x="0" y="0"/>
            <wp:positionH relativeFrom="column">
              <wp:posOffset>-1551940</wp:posOffset>
            </wp:positionH>
            <wp:positionV relativeFrom="paragraph">
              <wp:posOffset>-190500</wp:posOffset>
            </wp:positionV>
            <wp:extent cx="1295400" cy="10953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certation__compressé.jpg"/>
                    <pic:cNvPicPr/>
                  </pic:nvPicPr>
                  <pic:blipFill rotWithShape="1">
                    <a:blip r:embed="rId7" cstate="print">
                      <a:extLst>
                        <a:ext uri="{28A0092B-C50C-407E-A947-70E740481C1C}">
                          <a14:useLocalDpi xmlns:a14="http://schemas.microsoft.com/office/drawing/2010/main" val="0"/>
                        </a:ext>
                      </a:extLst>
                    </a:blip>
                    <a:srcRect b="15233"/>
                    <a:stretch/>
                  </pic:blipFill>
                  <pic:spPr bwMode="auto">
                    <a:xfrm>
                      <a:off x="0" y="0"/>
                      <a:ext cx="129540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7DDB" w:rsidRPr="00671E02">
        <w:rPr>
          <w:color w:val="9BBB59" w:themeColor="accent3"/>
        </w:rPr>
        <w:t>Fiche de suivi</w:t>
      </w:r>
    </w:p>
    <w:p w:rsidR="00DD6650" w:rsidRDefault="00DD6650" w:rsidP="00DD6650">
      <w:pPr>
        <w:spacing w:line="240" w:lineRule="auto"/>
        <w:rPr>
          <w:b/>
        </w:rPr>
        <w:sectPr w:rsidR="00DD6650" w:rsidSect="00E9690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3119" w:header="708" w:footer="708" w:gutter="0"/>
          <w:cols w:space="708"/>
          <w:docGrid w:linePitch="360"/>
        </w:sectPr>
      </w:pPr>
    </w:p>
    <w:p w:rsidR="00DD6650" w:rsidRDefault="00745B0E" w:rsidP="004D27A2">
      <w:pPr>
        <w:tabs>
          <w:tab w:val="right" w:leader="underscore" w:pos="5529"/>
        </w:tabs>
        <w:spacing w:line="240" w:lineRule="auto"/>
        <w:rPr>
          <w:b/>
        </w:rPr>
      </w:pPr>
      <w:r>
        <w:rPr>
          <w:b/>
        </w:rPr>
        <w:t>Comité</w:t>
      </w:r>
      <w:r w:rsidR="00CE7DDB" w:rsidRPr="00CE7DDB">
        <w:rPr>
          <w:b/>
        </w:rPr>
        <w:t xml:space="preserve"> : </w:t>
      </w:r>
      <w:r w:rsidR="00B535D5">
        <w:rPr>
          <w:b/>
        </w:rPr>
        <w:t>Municipal</w:t>
      </w:r>
    </w:p>
    <w:p w:rsidR="00CE7DDB" w:rsidRDefault="00CE7DDB" w:rsidP="004D27A2">
      <w:pPr>
        <w:tabs>
          <w:tab w:val="right" w:leader="underscore" w:pos="5529"/>
        </w:tabs>
        <w:spacing w:line="240" w:lineRule="auto"/>
        <w:rPr>
          <w:b/>
        </w:rPr>
      </w:pPr>
      <w:r w:rsidRPr="00CE7DDB">
        <w:rPr>
          <w:b/>
        </w:rPr>
        <w:t xml:space="preserve">Date : </w:t>
      </w:r>
      <w:r w:rsidR="001C6CDE">
        <w:rPr>
          <w:b/>
        </w:rPr>
        <w:t>4 mai</w:t>
      </w:r>
      <w:r w:rsidR="00B535D5">
        <w:rPr>
          <w:b/>
        </w:rPr>
        <w:t xml:space="preserve"> 201</w:t>
      </w:r>
      <w:r w:rsidR="001C6CDE">
        <w:rPr>
          <w:b/>
        </w:rPr>
        <w:t>8</w:t>
      </w:r>
    </w:p>
    <w:p w:rsidR="00DD6650" w:rsidRDefault="00DD6650" w:rsidP="004D27A2">
      <w:pPr>
        <w:tabs>
          <w:tab w:val="right" w:leader="underscore" w:pos="5529"/>
        </w:tabs>
        <w:spacing w:line="240" w:lineRule="auto"/>
        <w:rPr>
          <w:b/>
        </w:rPr>
        <w:sectPr w:rsidR="00DD6650" w:rsidSect="004D27A2">
          <w:type w:val="continuous"/>
          <w:pgSz w:w="15840" w:h="12240" w:orient="landscape"/>
          <w:pgMar w:top="993" w:right="1080" w:bottom="993" w:left="2977" w:header="708" w:footer="708" w:gutter="0"/>
          <w:cols w:num="2" w:space="516"/>
          <w:docGrid w:linePitch="360"/>
        </w:sectPr>
      </w:pPr>
    </w:p>
    <w:p w:rsidR="004D27A2" w:rsidRDefault="004D27A2" w:rsidP="00F3284D">
      <w:pPr>
        <w:spacing w:after="0" w:line="240" w:lineRule="auto"/>
        <w:sectPr w:rsidR="004D27A2" w:rsidSect="00165A21">
          <w:type w:val="continuous"/>
          <w:pgSz w:w="15840" w:h="12240" w:orient="landscape"/>
          <w:pgMar w:top="709" w:right="1080" w:bottom="567" w:left="1080" w:header="708" w:footer="708" w:gutter="0"/>
          <w:cols w:space="708"/>
          <w:docGrid w:linePitch="360"/>
        </w:sectPr>
      </w:pPr>
    </w:p>
    <w:p w:rsidR="00CE7DDB" w:rsidRPr="004D27A2" w:rsidRDefault="00CE7DDB" w:rsidP="008D3ECB">
      <w:pPr>
        <w:spacing w:after="120" w:line="240" w:lineRule="auto"/>
      </w:pPr>
    </w:p>
    <w:tbl>
      <w:tblPr>
        <w:tblStyle w:val="Grilledutableau"/>
        <w:tblW w:w="14044" w:type="dxa"/>
        <w:tblLook w:val="04A0" w:firstRow="1" w:lastRow="0" w:firstColumn="1" w:lastColumn="0" w:noHBand="0" w:noVBand="1"/>
      </w:tblPr>
      <w:tblGrid>
        <w:gridCol w:w="3710"/>
        <w:gridCol w:w="4660"/>
        <w:gridCol w:w="2867"/>
        <w:gridCol w:w="2807"/>
      </w:tblGrid>
      <w:tr w:rsidR="00F3284D" w:rsidRPr="00E22BC6" w:rsidTr="00022547">
        <w:trPr>
          <w:tblHeader/>
        </w:trPr>
        <w:tc>
          <w:tcPr>
            <w:tcW w:w="4219" w:type="dxa"/>
            <w:shd w:val="clear" w:color="auto" w:fill="C2D69B" w:themeFill="accent3" w:themeFillTint="99"/>
          </w:tcPr>
          <w:p w:rsidR="00F3284D" w:rsidRPr="00E22BC6" w:rsidRDefault="00F3284D" w:rsidP="00BC070B">
            <w:pPr>
              <w:rPr>
                <w:b/>
                <w:sz w:val="24"/>
              </w:rPr>
            </w:pPr>
            <w:r w:rsidRPr="00E22BC6">
              <w:rPr>
                <w:b/>
                <w:sz w:val="24"/>
              </w:rPr>
              <w:t>Discussion</w:t>
            </w:r>
          </w:p>
        </w:tc>
        <w:tc>
          <w:tcPr>
            <w:tcW w:w="3275" w:type="dxa"/>
            <w:shd w:val="clear" w:color="auto" w:fill="C2D69B" w:themeFill="accent3" w:themeFillTint="99"/>
          </w:tcPr>
          <w:p w:rsidR="00F3284D" w:rsidRPr="00E22BC6" w:rsidRDefault="00F3284D" w:rsidP="00BC070B">
            <w:pPr>
              <w:jc w:val="center"/>
              <w:rPr>
                <w:b/>
                <w:sz w:val="24"/>
              </w:rPr>
            </w:pPr>
            <w:r w:rsidRPr="00E22BC6">
              <w:rPr>
                <w:b/>
                <w:sz w:val="24"/>
              </w:rPr>
              <w:t>Action / Suivi à faire</w:t>
            </w:r>
          </w:p>
        </w:tc>
        <w:tc>
          <w:tcPr>
            <w:tcW w:w="3275" w:type="dxa"/>
            <w:shd w:val="clear" w:color="auto" w:fill="C2D69B" w:themeFill="accent3" w:themeFillTint="99"/>
          </w:tcPr>
          <w:p w:rsidR="00F3284D" w:rsidRPr="00E22BC6" w:rsidRDefault="00F3284D" w:rsidP="00BC070B">
            <w:pPr>
              <w:jc w:val="center"/>
              <w:rPr>
                <w:b/>
                <w:sz w:val="24"/>
              </w:rPr>
            </w:pPr>
            <w:r w:rsidRPr="00E22BC6">
              <w:rPr>
                <w:b/>
                <w:sz w:val="24"/>
              </w:rPr>
              <w:t>Responsable</w:t>
            </w:r>
          </w:p>
        </w:tc>
        <w:tc>
          <w:tcPr>
            <w:tcW w:w="3275" w:type="dxa"/>
            <w:shd w:val="clear" w:color="auto" w:fill="C2D69B" w:themeFill="accent3" w:themeFillTint="99"/>
          </w:tcPr>
          <w:p w:rsidR="00F3284D" w:rsidRPr="00E22BC6" w:rsidRDefault="00F3284D" w:rsidP="00BC070B">
            <w:pPr>
              <w:jc w:val="center"/>
              <w:rPr>
                <w:b/>
                <w:sz w:val="24"/>
              </w:rPr>
            </w:pPr>
            <w:r w:rsidRPr="00E22BC6">
              <w:rPr>
                <w:b/>
                <w:sz w:val="24"/>
              </w:rPr>
              <w:t>Échéancier</w:t>
            </w:r>
          </w:p>
        </w:tc>
      </w:tr>
      <w:tr w:rsidR="001D605B" w:rsidTr="00753CDD">
        <w:trPr>
          <w:trHeight w:val="595"/>
        </w:trPr>
        <w:tc>
          <w:tcPr>
            <w:tcW w:w="4219" w:type="dxa"/>
          </w:tcPr>
          <w:p w:rsidR="00743CFF" w:rsidRDefault="00C11B09" w:rsidP="00753CDD">
            <w:pPr>
              <w:jc w:val="both"/>
              <w:rPr>
                <w:rFonts w:ascii="Calibri" w:hAnsi="Calibri"/>
                <w:b/>
                <w:bCs/>
                <w:color w:val="000000"/>
                <w:lang w:eastAsia="fr-CA"/>
              </w:rPr>
            </w:pPr>
            <w:r>
              <w:rPr>
                <w:rFonts w:ascii="Calibri" w:hAnsi="Calibri"/>
                <w:b/>
                <w:bCs/>
                <w:color w:val="000000"/>
                <w:lang w:eastAsia="fr-CA"/>
              </w:rPr>
              <w:t xml:space="preserve">3. </w:t>
            </w:r>
            <w:r w:rsidR="0044644A" w:rsidRPr="0044644A">
              <w:rPr>
                <w:rFonts w:ascii="Calibri" w:hAnsi="Calibri"/>
                <w:b/>
                <w:bCs/>
                <w:color w:val="000000"/>
                <w:lang w:eastAsia="fr-CA"/>
              </w:rPr>
              <w:t>Tour de table des partenaires</w:t>
            </w:r>
          </w:p>
          <w:p w:rsidR="001C6CDE" w:rsidRDefault="001C6CDE" w:rsidP="00753CDD">
            <w:pPr>
              <w:jc w:val="both"/>
              <w:rPr>
                <w:rFonts w:ascii="Calibri" w:hAnsi="Calibri"/>
                <w:bCs/>
                <w:color w:val="000000"/>
                <w:lang w:eastAsia="fr-CA"/>
              </w:rPr>
            </w:pPr>
          </w:p>
          <w:p w:rsidR="00E46164" w:rsidRDefault="00E46164" w:rsidP="00753CDD">
            <w:pPr>
              <w:jc w:val="both"/>
              <w:rPr>
                <w:rFonts w:ascii="Calibri" w:hAnsi="Calibri"/>
                <w:bCs/>
                <w:color w:val="000000"/>
                <w:lang w:eastAsia="fr-CA"/>
              </w:rPr>
            </w:pPr>
            <w:r>
              <w:rPr>
                <w:rFonts w:ascii="Calibri" w:hAnsi="Calibri"/>
                <w:bCs/>
                <w:color w:val="000000"/>
                <w:lang w:eastAsia="fr-CA"/>
              </w:rPr>
              <w:t xml:space="preserve">Pontiac (L. </w:t>
            </w:r>
            <w:proofErr w:type="spellStart"/>
            <w:r>
              <w:rPr>
                <w:rFonts w:ascii="Calibri" w:hAnsi="Calibri"/>
                <w:bCs/>
                <w:color w:val="000000"/>
                <w:lang w:eastAsia="fr-CA"/>
              </w:rPr>
              <w:t>Lagacé</w:t>
            </w:r>
            <w:proofErr w:type="spellEnd"/>
            <w:r>
              <w:rPr>
                <w:rFonts w:ascii="Calibri" w:hAnsi="Calibri"/>
                <w:bCs/>
                <w:color w:val="000000"/>
                <w:lang w:eastAsia="fr-CA"/>
              </w:rPr>
              <w:t>):</w:t>
            </w:r>
          </w:p>
          <w:p w:rsidR="001C6CDE" w:rsidRPr="00E46164" w:rsidRDefault="00E46164" w:rsidP="00753CDD">
            <w:pPr>
              <w:pStyle w:val="Paragraphedeliste"/>
              <w:numPr>
                <w:ilvl w:val="0"/>
                <w:numId w:val="9"/>
              </w:numPr>
              <w:ind w:left="180" w:hanging="180"/>
              <w:jc w:val="both"/>
              <w:rPr>
                <w:rFonts w:ascii="Calibri" w:hAnsi="Calibri"/>
                <w:bCs/>
                <w:color w:val="000000"/>
                <w:lang w:eastAsia="fr-CA"/>
              </w:rPr>
            </w:pPr>
            <w:r w:rsidRPr="00E46164">
              <w:rPr>
                <w:rFonts w:ascii="Calibri" w:hAnsi="Calibri"/>
                <w:bCs/>
                <w:color w:val="000000"/>
                <w:lang w:eastAsia="fr-CA"/>
              </w:rPr>
              <w:t xml:space="preserve">Un </w:t>
            </w:r>
            <w:r w:rsidR="00EF3B64">
              <w:rPr>
                <w:rFonts w:ascii="Calibri" w:hAnsi="Calibri"/>
                <w:bCs/>
                <w:color w:val="000000"/>
                <w:lang w:eastAsia="fr-CA"/>
              </w:rPr>
              <w:t>f</w:t>
            </w:r>
            <w:r w:rsidRPr="00E46164">
              <w:rPr>
                <w:rFonts w:ascii="Calibri" w:hAnsi="Calibri"/>
                <w:bCs/>
                <w:color w:val="000000"/>
                <w:lang w:eastAsia="fr-CA"/>
              </w:rPr>
              <w:t xml:space="preserve">orum de la Table de développement social est prévu le 16 novembre. Un atelier sur les SHV et les suites à assurer après </w:t>
            </w:r>
            <w:proofErr w:type="spellStart"/>
            <w:r w:rsidRPr="00E46164">
              <w:rPr>
                <w:rFonts w:ascii="Calibri" w:hAnsi="Calibri"/>
                <w:bCs/>
                <w:color w:val="000000"/>
                <w:lang w:eastAsia="fr-CA"/>
              </w:rPr>
              <w:t>QeF</w:t>
            </w:r>
            <w:proofErr w:type="spellEnd"/>
            <w:r w:rsidRPr="00E46164">
              <w:rPr>
                <w:rFonts w:ascii="Calibri" w:hAnsi="Calibri"/>
                <w:bCs/>
                <w:color w:val="000000"/>
                <w:lang w:eastAsia="fr-CA"/>
              </w:rPr>
              <w:t xml:space="preserve"> est prévu.  </w:t>
            </w:r>
          </w:p>
          <w:p w:rsidR="005C4DDE" w:rsidRDefault="005C4DDE"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 xml:space="preserve">Afin de témoigner des bons coups des partenaires, une vidéo pourrait être produite. Une présentation </w:t>
            </w:r>
            <w:proofErr w:type="spellStart"/>
            <w:r>
              <w:rPr>
                <w:rFonts w:ascii="Calibri" w:hAnsi="Calibri"/>
                <w:bCs/>
                <w:color w:val="000000"/>
                <w:lang w:eastAsia="fr-CA"/>
              </w:rPr>
              <w:t>Prezi</w:t>
            </w:r>
            <w:proofErr w:type="spellEnd"/>
            <w:r>
              <w:rPr>
                <w:rFonts w:ascii="Calibri" w:hAnsi="Calibri"/>
                <w:bCs/>
                <w:color w:val="000000"/>
                <w:lang w:eastAsia="fr-CA"/>
              </w:rPr>
              <w:t xml:space="preserve"> pourrait aussi être produite ce qui serait plus simple, sans frais et permettre d’atteindre l’objectif visé. M. </w:t>
            </w:r>
            <w:proofErr w:type="spellStart"/>
            <w:r>
              <w:rPr>
                <w:rFonts w:ascii="Calibri" w:hAnsi="Calibri"/>
                <w:bCs/>
                <w:color w:val="000000"/>
                <w:lang w:eastAsia="fr-CA"/>
              </w:rPr>
              <w:t>Poleman</w:t>
            </w:r>
            <w:proofErr w:type="spellEnd"/>
            <w:r>
              <w:rPr>
                <w:rFonts w:ascii="Calibri" w:hAnsi="Calibri"/>
                <w:bCs/>
                <w:color w:val="000000"/>
                <w:lang w:eastAsia="fr-CA"/>
              </w:rPr>
              <w:t xml:space="preserve"> offre son soutien.</w:t>
            </w:r>
          </w:p>
          <w:p w:rsidR="005C4DDE" w:rsidRDefault="005C4DDE" w:rsidP="00753CDD">
            <w:pPr>
              <w:jc w:val="both"/>
              <w:rPr>
                <w:rFonts w:ascii="Calibri" w:hAnsi="Calibri"/>
                <w:bCs/>
                <w:color w:val="000000"/>
                <w:lang w:eastAsia="fr-CA"/>
              </w:rPr>
            </w:pPr>
          </w:p>
          <w:p w:rsidR="005C4DDE" w:rsidRPr="005C4DDE" w:rsidRDefault="005C4DDE" w:rsidP="00753CDD">
            <w:pPr>
              <w:jc w:val="both"/>
              <w:rPr>
                <w:rFonts w:ascii="Calibri" w:hAnsi="Calibri"/>
                <w:bCs/>
                <w:color w:val="000000"/>
                <w:lang w:eastAsia="fr-CA"/>
              </w:rPr>
            </w:pPr>
            <w:r>
              <w:rPr>
                <w:rFonts w:ascii="Calibri" w:hAnsi="Calibri"/>
                <w:bCs/>
                <w:color w:val="000000"/>
                <w:lang w:eastAsia="fr-CA"/>
              </w:rPr>
              <w:t xml:space="preserve">MAMOT (Joanne </w:t>
            </w:r>
            <w:proofErr w:type="spellStart"/>
            <w:r>
              <w:rPr>
                <w:rFonts w:ascii="Calibri" w:hAnsi="Calibri"/>
                <w:bCs/>
                <w:color w:val="000000"/>
                <w:lang w:eastAsia="fr-CA"/>
              </w:rPr>
              <w:t>Desforges</w:t>
            </w:r>
            <w:proofErr w:type="spellEnd"/>
            <w:r>
              <w:rPr>
                <w:rFonts w:ascii="Calibri" w:hAnsi="Calibri"/>
                <w:bCs/>
                <w:color w:val="000000"/>
                <w:lang w:eastAsia="fr-CA"/>
              </w:rPr>
              <w:t>) :</w:t>
            </w:r>
          </w:p>
          <w:p w:rsidR="005C4DDE" w:rsidRDefault="005C4DDE"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 xml:space="preserve">Un programme de soutien aux municipalités dévitalisées sera lancé, probablement au début de l’été. </w:t>
            </w:r>
          </w:p>
          <w:p w:rsidR="005C4DDE" w:rsidRDefault="005C4DDE"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Le Fonds de développement des territoires (FDT) reviendra en 2018-2019</w:t>
            </w:r>
          </w:p>
          <w:p w:rsidR="005C4DDE" w:rsidRDefault="005C4DDE"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Le Fonds d’a</w:t>
            </w:r>
            <w:r w:rsidR="008E7C48">
              <w:rPr>
                <w:rFonts w:ascii="Calibri" w:hAnsi="Calibri"/>
                <w:bCs/>
                <w:color w:val="000000"/>
                <w:lang w:eastAsia="fr-CA"/>
              </w:rPr>
              <w:t>ppui</w:t>
            </w:r>
            <w:r>
              <w:rPr>
                <w:rFonts w:ascii="Calibri" w:hAnsi="Calibri"/>
                <w:bCs/>
                <w:color w:val="000000"/>
                <w:lang w:eastAsia="fr-CA"/>
              </w:rPr>
              <w:t xml:space="preserve"> au rayonnement des régions (FARR</w:t>
            </w:r>
            <w:r w:rsidR="008E7C48">
              <w:rPr>
                <w:rFonts w:ascii="Calibri" w:hAnsi="Calibri"/>
                <w:bCs/>
                <w:color w:val="000000"/>
                <w:lang w:eastAsia="fr-CA"/>
              </w:rPr>
              <w:t>)</w:t>
            </w:r>
            <w:r w:rsidR="00753CDD">
              <w:rPr>
                <w:rFonts w:ascii="Calibri" w:hAnsi="Calibri"/>
                <w:bCs/>
                <w:color w:val="000000"/>
                <w:lang w:eastAsia="fr-CA"/>
              </w:rPr>
              <w:t xml:space="preserve">  sera reconduit</w:t>
            </w:r>
            <w:r>
              <w:rPr>
                <w:rFonts w:ascii="Calibri" w:hAnsi="Calibri"/>
                <w:bCs/>
                <w:color w:val="000000"/>
                <w:lang w:eastAsia="fr-CA"/>
              </w:rPr>
              <w:t>, la date de l’appel de projet n’a pas été fixée.</w:t>
            </w:r>
          </w:p>
          <w:p w:rsidR="005C4DDE" w:rsidRDefault="005C4DDE" w:rsidP="00753CDD">
            <w:pPr>
              <w:jc w:val="both"/>
              <w:rPr>
                <w:rFonts w:ascii="Calibri" w:hAnsi="Calibri"/>
                <w:bCs/>
                <w:color w:val="000000"/>
                <w:lang w:eastAsia="fr-CA"/>
              </w:rPr>
            </w:pPr>
          </w:p>
          <w:p w:rsidR="005C4DDE" w:rsidRDefault="005C4DDE" w:rsidP="00753CDD">
            <w:pPr>
              <w:jc w:val="both"/>
              <w:rPr>
                <w:rFonts w:ascii="Calibri" w:hAnsi="Calibri"/>
                <w:bCs/>
                <w:color w:val="000000"/>
                <w:lang w:eastAsia="fr-CA"/>
              </w:rPr>
            </w:pPr>
            <w:r w:rsidRPr="005C4DDE">
              <w:rPr>
                <w:rFonts w:ascii="Calibri" w:hAnsi="Calibri"/>
                <w:bCs/>
                <w:color w:val="000000"/>
                <w:lang w:eastAsia="fr-CA"/>
              </w:rPr>
              <w:t xml:space="preserve">Collines (M. </w:t>
            </w:r>
            <w:proofErr w:type="spellStart"/>
            <w:r w:rsidRPr="005C4DDE">
              <w:rPr>
                <w:rFonts w:ascii="Calibri" w:hAnsi="Calibri"/>
                <w:bCs/>
                <w:color w:val="000000"/>
                <w:lang w:eastAsia="fr-CA"/>
              </w:rPr>
              <w:t>Poleman</w:t>
            </w:r>
            <w:proofErr w:type="spellEnd"/>
            <w:r w:rsidRPr="005C4DDE">
              <w:rPr>
                <w:rFonts w:ascii="Calibri" w:hAnsi="Calibri"/>
                <w:bCs/>
                <w:color w:val="000000"/>
                <w:lang w:eastAsia="fr-CA"/>
              </w:rPr>
              <w:t>)</w:t>
            </w:r>
            <w:r>
              <w:rPr>
                <w:rFonts w:ascii="Calibri" w:hAnsi="Calibri"/>
                <w:bCs/>
                <w:color w:val="000000"/>
                <w:lang w:eastAsia="fr-CA"/>
              </w:rPr>
              <w:t> :</w:t>
            </w:r>
          </w:p>
          <w:p w:rsidR="00DF711C" w:rsidRDefault="005C4DDE"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 xml:space="preserve">Un forum est en préparation par la </w:t>
            </w:r>
            <w:r w:rsidR="00EF3B64">
              <w:rPr>
                <w:rFonts w:ascii="Calibri" w:hAnsi="Calibri"/>
                <w:bCs/>
                <w:color w:val="000000"/>
                <w:lang w:eastAsia="fr-CA"/>
              </w:rPr>
              <w:lastRenderedPageBreak/>
              <w:t>TDS des C</w:t>
            </w:r>
            <w:r>
              <w:rPr>
                <w:rFonts w:ascii="Calibri" w:hAnsi="Calibri"/>
                <w:bCs/>
                <w:color w:val="000000"/>
                <w:lang w:eastAsia="fr-CA"/>
              </w:rPr>
              <w:t>ollines et un volet traitant des SHV sera rattaché à la commission des milieux de vie et des communautés dévitalisées</w:t>
            </w:r>
            <w:r w:rsidR="00DF711C">
              <w:rPr>
                <w:rFonts w:ascii="Calibri" w:hAnsi="Calibri"/>
                <w:bCs/>
                <w:color w:val="000000"/>
                <w:lang w:eastAsia="fr-CA"/>
              </w:rPr>
              <w:t xml:space="preserve">. Le forum aura lieu à l’automne, la date reste à confirmer. </w:t>
            </w:r>
          </w:p>
          <w:p w:rsidR="00DF711C" w:rsidRDefault="00DF711C"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Le salon Jeunesse est prévu le 9 juin à l’École secondaire des Lacs. Différents ateliers auront lieu, dont un mené par le CAA-Québec consistant en une simulation de conduite avec les facultés affaiblies. Beaucoup de partenaires sont présents.</w:t>
            </w:r>
          </w:p>
          <w:p w:rsidR="00DF711C" w:rsidRDefault="00DF711C"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La Fête de la Famille est prévue le 13 mai.</w:t>
            </w:r>
          </w:p>
          <w:p w:rsidR="00DF711C" w:rsidRDefault="00DF711C" w:rsidP="00753CDD">
            <w:pPr>
              <w:jc w:val="both"/>
              <w:rPr>
                <w:rFonts w:ascii="Calibri" w:hAnsi="Calibri"/>
                <w:bCs/>
                <w:color w:val="000000"/>
                <w:lang w:eastAsia="fr-CA"/>
              </w:rPr>
            </w:pPr>
          </w:p>
          <w:p w:rsidR="00DF711C" w:rsidRDefault="00DF711C" w:rsidP="00753CDD">
            <w:pPr>
              <w:jc w:val="both"/>
              <w:rPr>
                <w:rFonts w:ascii="Calibri" w:hAnsi="Calibri"/>
                <w:bCs/>
                <w:color w:val="000000"/>
                <w:lang w:eastAsia="fr-CA"/>
              </w:rPr>
            </w:pPr>
            <w:r>
              <w:rPr>
                <w:rFonts w:ascii="Calibri" w:hAnsi="Calibri"/>
                <w:bCs/>
                <w:color w:val="000000"/>
                <w:lang w:eastAsia="fr-CA"/>
              </w:rPr>
              <w:t xml:space="preserve">Vallée-de-la-Gatineau (J. </w:t>
            </w:r>
            <w:proofErr w:type="spellStart"/>
            <w:r>
              <w:rPr>
                <w:rFonts w:ascii="Calibri" w:hAnsi="Calibri"/>
                <w:bCs/>
                <w:color w:val="000000"/>
                <w:lang w:eastAsia="fr-CA"/>
              </w:rPr>
              <w:t>Lafrenière</w:t>
            </w:r>
            <w:proofErr w:type="spellEnd"/>
            <w:r>
              <w:rPr>
                <w:rFonts w:ascii="Calibri" w:hAnsi="Calibri"/>
                <w:bCs/>
                <w:color w:val="000000"/>
                <w:lang w:eastAsia="fr-CA"/>
              </w:rPr>
              <w:t>)</w:t>
            </w:r>
            <w:r w:rsidR="00FA557B">
              <w:rPr>
                <w:rFonts w:ascii="Calibri" w:hAnsi="Calibri"/>
                <w:bCs/>
                <w:color w:val="000000"/>
                <w:lang w:eastAsia="fr-CA"/>
              </w:rPr>
              <w:t> :</w:t>
            </w:r>
          </w:p>
          <w:p w:rsidR="00DF711C" w:rsidRDefault="00DF711C"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 xml:space="preserve">La fusion du RLP avec la TDS est complétée. La MRC agit à titre de mandataire de la coordination. </w:t>
            </w:r>
          </w:p>
          <w:p w:rsidR="00DF711C" w:rsidRDefault="00DF711C"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Trois comités de travail ont été formés : Agir tôt, SHV, lutte aux inégalités sociales</w:t>
            </w:r>
            <w:r w:rsidR="00EF3B64">
              <w:rPr>
                <w:rFonts w:ascii="Calibri" w:hAnsi="Calibri"/>
                <w:bCs/>
                <w:color w:val="000000"/>
                <w:lang w:eastAsia="fr-CA"/>
              </w:rPr>
              <w:t>.</w:t>
            </w:r>
            <w:r>
              <w:rPr>
                <w:rFonts w:ascii="Calibri" w:hAnsi="Calibri"/>
                <w:bCs/>
                <w:color w:val="000000"/>
                <w:lang w:eastAsia="fr-CA"/>
              </w:rPr>
              <w:t xml:space="preserve"> </w:t>
            </w:r>
          </w:p>
          <w:p w:rsidR="00FD389F" w:rsidRDefault="00DF711C"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 xml:space="preserve">La MRC et une bonne proportion des municipalités sont en démarche </w:t>
            </w:r>
            <w:r w:rsidR="00C95DBF">
              <w:rPr>
                <w:rFonts w:ascii="Calibri" w:hAnsi="Calibri"/>
                <w:bCs/>
                <w:color w:val="000000"/>
                <w:lang w:eastAsia="fr-CA"/>
              </w:rPr>
              <w:t>d’élaboration de PFM</w:t>
            </w:r>
            <w:r w:rsidR="00FD389F">
              <w:rPr>
                <w:rFonts w:ascii="Calibri" w:hAnsi="Calibri"/>
                <w:bCs/>
                <w:color w:val="000000"/>
                <w:lang w:eastAsia="fr-CA"/>
              </w:rPr>
              <w:t>-MADA</w:t>
            </w:r>
            <w:r w:rsidR="00C95DBF">
              <w:rPr>
                <w:rFonts w:ascii="Calibri" w:hAnsi="Calibri"/>
                <w:bCs/>
                <w:color w:val="000000"/>
                <w:lang w:eastAsia="fr-CA"/>
              </w:rPr>
              <w:t xml:space="preserve">, ce qui constitue une belle mobilisation depuis 2013 alors que 3 municipalités </w:t>
            </w:r>
            <w:r w:rsidR="00FD389F">
              <w:rPr>
                <w:rFonts w:ascii="Calibri" w:hAnsi="Calibri"/>
                <w:bCs/>
                <w:color w:val="000000"/>
                <w:lang w:eastAsia="fr-CA"/>
              </w:rPr>
              <w:t>avaient complété la démarche.</w:t>
            </w:r>
            <w:r>
              <w:rPr>
                <w:rFonts w:ascii="Calibri" w:hAnsi="Calibri"/>
                <w:bCs/>
                <w:color w:val="000000"/>
                <w:lang w:eastAsia="fr-CA"/>
              </w:rPr>
              <w:t xml:space="preserve">  </w:t>
            </w:r>
            <w:r w:rsidRPr="00DF711C">
              <w:rPr>
                <w:rFonts w:ascii="Calibri" w:hAnsi="Calibri"/>
                <w:bCs/>
                <w:color w:val="000000"/>
                <w:lang w:eastAsia="fr-CA"/>
              </w:rPr>
              <w:t xml:space="preserve">     </w:t>
            </w:r>
            <w:r w:rsidR="005C4DDE" w:rsidRPr="00DF711C">
              <w:rPr>
                <w:rFonts w:ascii="Calibri" w:hAnsi="Calibri"/>
                <w:bCs/>
                <w:color w:val="000000"/>
                <w:lang w:eastAsia="fr-CA"/>
              </w:rPr>
              <w:t xml:space="preserve">    </w:t>
            </w:r>
          </w:p>
          <w:p w:rsidR="00FD389F" w:rsidRDefault="00FD389F"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Le conseil des maires est d’accord pour tenir un événement de mobilisation qui lancera les PFM et permettra la réflexion sur les plans d’action à venir.  Cet événement est prévu en décembre 2018.</w:t>
            </w:r>
          </w:p>
          <w:p w:rsidR="00FA557B" w:rsidRDefault="00FD389F"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lastRenderedPageBreak/>
              <w:t>L</w:t>
            </w:r>
            <w:r w:rsidR="0091746E">
              <w:rPr>
                <w:rFonts w:ascii="Calibri" w:hAnsi="Calibri"/>
                <w:bCs/>
                <w:color w:val="000000"/>
                <w:lang w:eastAsia="fr-CA"/>
              </w:rPr>
              <w:t>a MRC garder</w:t>
            </w:r>
            <w:r w:rsidR="00753CDD">
              <w:rPr>
                <w:rFonts w:ascii="Calibri" w:hAnsi="Calibri"/>
                <w:bCs/>
                <w:color w:val="000000"/>
                <w:lang w:eastAsia="fr-CA"/>
              </w:rPr>
              <w:t>a</w:t>
            </w:r>
            <w:r w:rsidR="0091746E">
              <w:rPr>
                <w:rFonts w:ascii="Calibri" w:hAnsi="Calibri"/>
                <w:bCs/>
                <w:color w:val="000000"/>
                <w:lang w:eastAsia="fr-CA"/>
              </w:rPr>
              <w:t xml:space="preserve"> le </w:t>
            </w:r>
            <w:r>
              <w:rPr>
                <w:rFonts w:ascii="Calibri" w:hAnsi="Calibri"/>
                <w:bCs/>
                <w:color w:val="000000"/>
                <w:lang w:eastAsia="fr-CA"/>
              </w:rPr>
              <w:t xml:space="preserve">chargé de projet MADA et PFM </w:t>
            </w:r>
            <w:r w:rsidR="0091746E">
              <w:rPr>
                <w:rFonts w:ascii="Calibri" w:hAnsi="Calibri"/>
                <w:bCs/>
                <w:color w:val="000000"/>
                <w:lang w:eastAsia="fr-CA"/>
              </w:rPr>
              <w:t>en poste pour le soutien aux travaux de la TDS.</w:t>
            </w:r>
          </w:p>
          <w:p w:rsidR="00FA557B" w:rsidRDefault="00FA557B" w:rsidP="00753CDD">
            <w:pPr>
              <w:jc w:val="both"/>
              <w:rPr>
                <w:rFonts w:ascii="Calibri" w:hAnsi="Calibri"/>
                <w:bCs/>
                <w:color w:val="000000"/>
                <w:lang w:eastAsia="fr-CA"/>
              </w:rPr>
            </w:pPr>
          </w:p>
          <w:p w:rsidR="00FA557B" w:rsidRDefault="00FA557B" w:rsidP="00753CDD">
            <w:pPr>
              <w:jc w:val="both"/>
              <w:rPr>
                <w:rFonts w:ascii="Calibri" w:hAnsi="Calibri"/>
                <w:bCs/>
                <w:color w:val="000000"/>
                <w:lang w:eastAsia="fr-CA"/>
              </w:rPr>
            </w:pPr>
            <w:r>
              <w:rPr>
                <w:rFonts w:ascii="Calibri" w:hAnsi="Calibri"/>
                <w:bCs/>
                <w:color w:val="000000"/>
                <w:lang w:eastAsia="fr-CA"/>
              </w:rPr>
              <w:t xml:space="preserve">Direction de santé publique (G. </w:t>
            </w:r>
            <w:proofErr w:type="spellStart"/>
            <w:r>
              <w:rPr>
                <w:rFonts w:ascii="Calibri" w:hAnsi="Calibri"/>
                <w:bCs/>
                <w:color w:val="000000"/>
                <w:lang w:eastAsia="fr-CA"/>
              </w:rPr>
              <w:t>Delaunais</w:t>
            </w:r>
            <w:proofErr w:type="spellEnd"/>
            <w:r>
              <w:rPr>
                <w:rFonts w:ascii="Calibri" w:hAnsi="Calibri"/>
                <w:bCs/>
                <w:color w:val="000000"/>
                <w:lang w:eastAsia="fr-CA"/>
              </w:rPr>
              <w:t>) :</w:t>
            </w:r>
          </w:p>
          <w:p w:rsidR="00FA557B" w:rsidRDefault="00FA557B"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Une présentation sur le logement salubre, abordable et accessible a été réalisée à la TDS de la Vallée-de-la-Gatineau, et ce, dans le contexte de la lutte aux inégalités sociales de santé. Des pistes d’actions communes ont été identifiées.</w:t>
            </w:r>
          </w:p>
          <w:p w:rsidR="00FA557B" w:rsidRDefault="00FA557B"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 xml:space="preserve">Un partenariat sur la lutte aux changements climatiques à la Pêche a été établi avec divers organismes (Coop jeunesse, Maison des jeunes) et une formation sera offerte aux employés municipaux pour </w:t>
            </w:r>
            <w:r w:rsidR="00753CDD">
              <w:rPr>
                <w:rFonts w:ascii="Calibri" w:hAnsi="Calibri"/>
                <w:bCs/>
                <w:color w:val="000000"/>
                <w:lang w:eastAsia="fr-CA"/>
              </w:rPr>
              <w:t>l’</w:t>
            </w:r>
            <w:r>
              <w:rPr>
                <w:rFonts w:ascii="Calibri" w:hAnsi="Calibri"/>
                <w:bCs/>
                <w:color w:val="000000"/>
                <w:lang w:eastAsia="fr-CA"/>
              </w:rPr>
              <w:t>éradication de l’herbe à poux.</w:t>
            </w:r>
          </w:p>
          <w:p w:rsidR="00587C2F" w:rsidRDefault="00587C2F"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P</w:t>
            </w:r>
            <w:r w:rsidR="00F20218">
              <w:rPr>
                <w:rFonts w:ascii="Calibri" w:hAnsi="Calibri"/>
                <w:bCs/>
                <w:color w:val="000000"/>
                <w:lang w:eastAsia="fr-CA"/>
              </w:rPr>
              <w:t>articipation à p</w:t>
            </w:r>
            <w:r>
              <w:rPr>
                <w:rFonts w:ascii="Calibri" w:hAnsi="Calibri"/>
                <w:bCs/>
                <w:color w:val="000000"/>
                <w:lang w:eastAsia="fr-CA"/>
              </w:rPr>
              <w:t xml:space="preserve">lusieurs projets </w:t>
            </w:r>
            <w:r w:rsidR="00F20218">
              <w:rPr>
                <w:rFonts w:ascii="Calibri" w:hAnsi="Calibri"/>
                <w:bCs/>
                <w:color w:val="000000"/>
                <w:lang w:eastAsia="fr-CA"/>
              </w:rPr>
              <w:t>du</w:t>
            </w:r>
            <w:r>
              <w:rPr>
                <w:rFonts w:ascii="Calibri" w:hAnsi="Calibri"/>
                <w:bCs/>
                <w:color w:val="000000"/>
                <w:lang w:eastAsia="fr-CA"/>
              </w:rPr>
              <w:t xml:space="preserve"> CREDDO : projet </w:t>
            </w:r>
            <w:r w:rsidR="00CD6E41">
              <w:rPr>
                <w:rFonts w:ascii="Calibri" w:hAnsi="Calibri"/>
                <w:bCs/>
                <w:color w:val="000000"/>
                <w:lang w:eastAsia="fr-CA"/>
              </w:rPr>
              <w:t xml:space="preserve">Air </w:t>
            </w:r>
            <w:proofErr w:type="spellStart"/>
            <w:r w:rsidR="00CD6E41">
              <w:rPr>
                <w:rFonts w:ascii="Calibri" w:hAnsi="Calibri"/>
                <w:bCs/>
                <w:color w:val="000000"/>
                <w:lang w:eastAsia="fr-CA"/>
              </w:rPr>
              <w:t>ou-vert</w:t>
            </w:r>
            <w:proofErr w:type="spellEnd"/>
            <w:r w:rsidR="00CD6E41">
              <w:rPr>
                <w:rFonts w:ascii="Calibri" w:hAnsi="Calibri"/>
                <w:bCs/>
                <w:color w:val="000000"/>
                <w:lang w:eastAsia="fr-CA"/>
              </w:rPr>
              <w:t xml:space="preserve"> </w:t>
            </w:r>
            <w:r>
              <w:rPr>
                <w:rFonts w:ascii="Calibri" w:hAnsi="Calibri"/>
                <w:bCs/>
                <w:color w:val="000000"/>
                <w:lang w:eastAsia="fr-CA"/>
              </w:rPr>
              <w:t>de ver</w:t>
            </w:r>
            <w:r w:rsidR="00F20218">
              <w:rPr>
                <w:rFonts w:ascii="Calibri" w:hAnsi="Calibri"/>
                <w:bCs/>
                <w:color w:val="000000"/>
                <w:lang w:eastAsia="fr-CA"/>
              </w:rPr>
              <w:t>dissement de l’Île de Hull incluant comité consultatif, consultation citoyenne en ligne</w:t>
            </w:r>
            <w:r w:rsidR="00753CDD">
              <w:rPr>
                <w:rFonts w:ascii="Calibri" w:hAnsi="Calibri"/>
                <w:bCs/>
                <w:color w:val="000000"/>
                <w:lang w:eastAsia="fr-CA"/>
              </w:rPr>
              <w:t xml:space="preserve"> et </w:t>
            </w:r>
            <w:r w:rsidR="00CD6E41">
              <w:rPr>
                <w:rFonts w:ascii="Calibri" w:hAnsi="Calibri"/>
                <w:bCs/>
                <w:color w:val="000000"/>
                <w:lang w:eastAsia="fr-CA"/>
              </w:rPr>
              <w:t xml:space="preserve"> Forum le 9 juin.</w:t>
            </w:r>
            <w:r w:rsidR="00F20218">
              <w:rPr>
                <w:rFonts w:ascii="Calibri" w:hAnsi="Calibri"/>
                <w:bCs/>
                <w:color w:val="000000"/>
                <w:lang w:eastAsia="fr-CA"/>
              </w:rPr>
              <w:t xml:space="preserve"> </w:t>
            </w:r>
          </w:p>
          <w:p w:rsidR="00CD6E41" w:rsidRDefault="00FA557B"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Les travaux avec les organismes de Bassins versants se poursuivent au niveau d’un plan de gestion intégrée de l’eau, le renouvellement du plan directeur de l’eau. L</w:t>
            </w:r>
            <w:r w:rsidR="00A10DE3">
              <w:rPr>
                <w:rFonts w:ascii="Calibri" w:hAnsi="Calibri"/>
                <w:bCs/>
                <w:color w:val="000000"/>
                <w:lang w:eastAsia="fr-CA"/>
              </w:rPr>
              <w:t xml:space="preserve">e </w:t>
            </w:r>
            <w:r>
              <w:rPr>
                <w:rFonts w:ascii="Calibri" w:hAnsi="Calibri"/>
                <w:bCs/>
                <w:color w:val="000000"/>
                <w:lang w:eastAsia="fr-CA"/>
              </w:rPr>
              <w:t>schéma d’am</w:t>
            </w:r>
            <w:r w:rsidR="00A10DE3">
              <w:rPr>
                <w:rFonts w:ascii="Calibri" w:hAnsi="Calibri"/>
                <w:bCs/>
                <w:color w:val="000000"/>
                <w:lang w:eastAsia="fr-CA"/>
              </w:rPr>
              <w:t xml:space="preserve">énagement et le plan directeur de l’eau doivent faire l’objet d’une coordination pour répondre aux exigences gouvernementales.   </w:t>
            </w:r>
            <w:r>
              <w:rPr>
                <w:rFonts w:ascii="Calibri" w:hAnsi="Calibri"/>
                <w:bCs/>
                <w:color w:val="000000"/>
                <w:lang w:eastAsia="fr-CA"/>
              </w:rPr>
              <w:t xml:space="preserve"> </w:t>
            </w:r>
          </w:p>
          <w:p w:rsidR="00CD6E41" w:rsidRDefault="00CD6E41" w:rsidP="00753CDD">
            <w:pPr>
              <w:jc w:val="both"/>
              <w:rPr>
                <w:rFonts w:ascii="Calibri" w:hAnsi="Calibri"/>
                <w:bCs/>
                <w:color w:val="000000"/>
                <w:lang w:eastAsia="fr-CA"/>
              </w:rPr>
            </w:pPr>
          </w:p>
          <w:p w:rsidR="008E7C48" w:rsidRDefault="008E7C48" w:rsidP="00753CDD">
            <w:pPr>
              <w:jc w:val="both"/>
              <w:rPr>
                <w:rFonts w:ascii="Calibri" w:hAnsi="Calibri"/>
                <w:bCs/>
                <w:color w:val="000000"/>
                <w:lang w:eastAsia="fr-CA"/>
              </w:rPr>
            </w:pPr>
          </w:p>
          <w:p w:rsidR="00CD6E41" w:rsidRPr="00CD6E41" w:rsidRDefault="00CD6E41" w:rsidP="00753CDD">
            <w:pPr>
              <w:jc w:val="both"/>
              <w:rPr>
                <w:rFonts w:ascii="Calibri" w:hAnsi="Calibri"/>
                <w:b/>
                <w:bCs/>
                <w:color w:val="000000"/>
                <w:lang w:eastAsia="fr-CA"/>
              </w:rPr>
            </w:pPr>
            <w:r w:rsidRPr="00CD6E41">
              <w:rPr>
                <w:rFonts w:ascii="Calibri" w:hAnsi="Calibri"/>
                <w:b/>
                <w:bCs/>
                <w:color w:val="000000"/>
                <w:lang w:eastAsia="fr-CA"/>
              </w:rPr>
              <w:lastRenderedPageBreak/>
              <w:t>Conférence 100 degrés</w:t>
            </w:r>
            <w:r w:rsidR="00FA557B" w:rsidRPr="00CD6E41">
              <w:rPr>
                <w:rFonts w:ascii="Calibri" w:hAnsi="Calibri"/>
                <w:b/>
                <w:bCs/>
                <w:color w:val="000000"/>
                <w:lang w:eastAsia="fr-CA"/>
              </w:rPr>
              <w:t xml:space="preserve">  </w:t>
            </w:r>
          </w:p>
          <w:p w:rsidR="00CD6E41" w:rsidRDefault="00CD6E41" w:rsidP="00753CDD">
            <w:pPr>
              <w:pStyle w:val="Paragraphedeliste"/>
              <w:numPr>
                <w:ilvl w:val="0"/>
                <w:numId w:val="9"/>
              </w:numPr>
              <w:ind w:left="180" w:hanging="180"/>
              <w:jc w:val="both"/>
              <w:rPr>
                <w:rFonts w:ascii="Calibri" w:hAnsi="Calibri"/>
                <w:bCs/>
                <w:color w:val="000000"/>
                <w:lang w:eastAsia="fr-CA"/>
              </w:rPr>
            </w:pPr>
            <w:r>
              <w:rPr>
                <w:rFonts w:ascii="Calibri" w:hAnsi="Calibri"/>
                <w:bCs/>
                <w:color w:val="000000"/>
                <w:lang w:eastAsia="fr-CA"/>
              </w:rPr>
              <w:t xml:space="preserve">Le 8 juin en matinée aura lieu une Conférence 100 degrés à La Pêche au Centre Wakefield. Le conférencier est Jocelyn Garneau de l’UQTR qui traitera de modèle de coopération municipale en matière de loisir. La Concertation collabore avec Dimension sportive et culturelle qui est l’organisme mandaté par </w:t>
            </w:r>
            <w:proofErr w:type="spellStart"/>
            <w:r>
              <w:rPr>
                <w:rFonts w:ascii="Calibri" w:hAnsi="Calibri"/>
                <w:bCs/>
                <w:color w:val="000000"/>
                <w:lang w:eastAsia="fr-CA"/>
              </w:rPr>
              <w:t>QeF</w:t>
            </w:r>
            <w:proofErr w:type="spellEnd"/>
            <w:r>
              <w:rPr>
                <w:rFonts w:ascii="Calibri" w:hAnsi="Calibri"/>
                <w:bCs/>
                <w:color w:val="000000"/>
                <w:lang w:eastAsia="fr-CA"/>
              </w:rPr>
              <w:t xml:space="preserve"> pour organiser ces conférences en Outaouais.  </w:t>
            </w:r>
            <w:r w:rsidR="00FA557B">
              <w:rPr>
                <w:rFonts w:ascii="Calibri" w:hAnsi="Calibri"/>
                <w:bCs/>
                <w:color w:val="000000"/>
                <w:lang w:eastAsia="fr-CA"/>
              </w:rPr>
              <w:t xml:space="preserve">    </w:t>
            </w:r>
            <w:r w:rsidR="00FA557B" w:rsidRPr="00FA557B">
              <w:rPr>
                <w:rFonts w:ascii="Calibri" w:hAnsi="Calibri"/>
                <w:bCs/>
                <w:color w:val="000000"/>
                <w:lang w:eastAsia="fr-CA"/>
              </w:rPr>
              <w:t> </w:t>
            </w:r>
            <w:r w:rsidR="0091746E" w:rsidRPr="00FA557B">
              <w:rPr>
                <w:rFonts w:ascii="Calibri" w:hAnsi="Calibri"/>
                <w:bCs/>
                <w:color w:val="000000"/>
                <w:lang w:eastAsia="fr-CA"/>
              </w:rPr>
              <w:t xml:space="preserve"> </w:t>
            </w:r>
          </w:p>
          <w:p w:rsidR="0044644A" w:rsidRPr="0044644A" w:rsidRDefault="00CD6E41" w:rsidP="00753CDD">
            <w:pPr>
              <w:pStyle w:val="Paragraphedeliste"/>
              <w:numPr>
                <w:ilvl w:val="0"/>
                <w:numId w:val="9"/>
              </w:numPr>
              <w:ind w:left="180" w:hanging="180"/>
              <w:jc w:val="both"/>
              <w:rPr>
                <w:rFonts w:ascii="Calibri" w:hAnsi="Calibri"/>
                <w:bCs/>
                <w:color w:val="000000"/>
                <w:lang w:eastAsia="fr-CA"/>
              </w:rPr>
            </w:pPr>
            <w:r w:rsidRPr="00CD6E41">
              <w:rPr>
                <w:rFonts w:ascii="Calibri" w:hAnsi="Calibri"/>
                <w:bCs/>
                <w:color w:val="000000"/>
                <w:lang w:eastAsia="fr-CA"/>
              </w:rPr>
              <w:t>Il n’y a aucun appel de projet</w:t>
            </w:r>
            <w:r w:rsidR="00FC19D2">
              <w:rPr>
                <w:rFonts w:ascii="Calibri" w:hAnsi="Calibri"/>
                <w:bCs/>
                <w:color w:val="000000"/>
                <w:lang w:eastAsia="fr-CA"/>
              </w:rPr>
              <w:t xml:space="preserve"> </w:t>
            </w:r>
            <w:r w:rsidRPr="00CD6E41">
              <w:rPr>
                <w:rFonts w:ascii="Calibri" w:hAnsi="Calibri"/>
                <w:bCs/>
                <w:color w:val="000000"/>
                <w:lang w:eastAsia="fr-CA"/>
              </w:rPr>
              <w:t>associé à cette conférence. La thématique de l’automne sera « Bâtir autrement » et comportera un appel de projets.  Les détails restent à venir.</w:t>
            </w:r>
            <w:r w:rsidR="00097452">
              <w:rPr>
                <w:rFonts w:ascii="Calibri" w:hAnsi="Calibri"/>
                <w:bCs/>
                <w:color w:val="000000"/>
                <w:lang w:eastAsia="fr-CA"/>
              </w:rPr>
              <w:t xml:space="preserve"> </w:t>
            </w:r>
            <w:r w:rsidR="0044644A">
              <w:rPr>
                <w:rFonts w:ascii="Calibri" w:hAnsi="Calibri"/>
                <w:bCs/>
                <w:color w:val="000000"/>
                <w:lang w:eastAsia="fr-CA"/>
              </w:rPr>
              <w:t xml:space="preserve">   </w:t>
            </w:r>
          </w:p>
        </w:tc>
        <w:tc>
          <w:tcPr>
            <w:tcW w:w="3275" w:type="dxa"/>
          </w:tcPr>
          <w:p w:rsidR="00743CFF" w:rsidRDefault="00743CFF"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753CDD">
            <w:pPr>
              <w:jc w:val="both"/>
            </w:pPr>
          </w:p>
          <w:p w:rsidR="008E7C48" w:rsidRDefault="008E7C48" w:rsidP="00EF3B64">
            <w:pPr>
              <w:jc w:val="both"/>
            </w:pPr>
            <w:r>
              <w:t>La date limite pour le FARR a été fixée au 2 juillet.</w:t>
            </w:r>
          </w:p>
          <w:p w:rsidR="008E7C48" w:rsidRPr="00EF3B64" w:rsidRDefault="0069136A" w:rsidP="00EF3B64">
            <w:pPr>
              <w:jc w:val="both"/>
            </w:pPr>
            <w:hyperlink r:id="rId14" w:history="1">
              <w:r w:rsidR="00EF3B64" w:rsidRPr="00EF3B64">
                <w:rPr>
                  <w:rStyle w:val="Lienhypertexte"/>
                  <w:u w:val="none"/>
                </w:rPr>
                <w:t>https://www.mamot.gouv.qc.ca/developpement-territorial/programmes/fonds-dappui-au-rayonnement-des-regions-farr/gestion-regionale-du-programme</w:t>
              </w:r>
            </w:hyperlink>
          </w:p>
          <w:p w:rsidR="00EF3B64" w:rsidRDefault="00EF3B64" w:rsidP="00EF3B64">
            <w:pPr>
              <w:jc w:val="both"/>
            </w:pPr>
          </w:p>
        </w:tc>
        <w:tc>
          <w:tcPr>
            <w:tcW w:w="3275" w:type="dxa"/>
          </w:tcPr>
          <w:p w:rsidR="006C114B" w:rsidRDefault="006C114B" w:rsidP="00753CDD">
            <w:pPr>
              <w:jc w:val="both"/>
            </w:pPr>
          </w:p>
          <w:p w:rsidR="00CF1D49" w:rsidRDefault="00CF1D49" w:rsidP="00753CDD">
            <w:pPr>
              <w:jc w:val="both"/>
            </w:pPr>
          </w:p>
        </w:tc>
        <w:tc>
          <w:tcPr>
            <w:tcW w:w="3275" w:type="dxa"/>
          </w:tcPr>
          <w:p w:rsidR="001D605B" w:rsidRDefault="001D605B" w:rsidP="00753CDD">
            <w:pPr>
              <w:jc w:val="both"/>
            </w:pPr>
          </w:p>
        </w:tc>
      </w:tr>
      <w:tr w:rsidR="001D605B" w:rsidTr="008E7C48">
        <w:trPr>
          <w:trHeight w:val="3745"/>
        </w:trPr>
        <w:tc>
          <w:tcPr>
            <w:tcW w:w="4219" w:type="dxa"/>
          </w:tcPr>
          <w:p w:rsidR="001C6CDE" w:rsidRDefault="001C6CDE" w:rsidP="00753CDD">
            <w:pPr>
              <w:spacing w:before="240"/>
              <w:ind w:left="270" w:hanging="270"/>
              <w:jc w:val="both"/>
              <w:rPr>
                <w:rFonts w:cs="Arial"/>
                <w:b/>
              </w:rPr>
            </w:pPr>
            <w:r>
              <w:rPr>
                <w:rFonts w:cs="Arial"/>
                <w:b/>
              </w:rPr>
              <w:lastRenderedPageBreak/>
              <w:t xml:space="preserve">4. </w:t>
            </w:r>
            <w:r w:rsidRPr="001C6CDE">
              <w:rPr>
                <w:rFonts w:cs="Arial"/>
                <w:b/>
              </w:rPr>
              <w:t>Événements de mobilisation municipale et critères pour le soutien financier à accorder pour les actions concertées</w:t>
            </w:r>
          </w:p>
          <w:p w:rsidR="00F712DC" w:rsidRDefault="00F712DC" w:rsidP="00753CDD">
            <w:pPr>
              <w:spacing w:before="240"/>
              <w:jc w:val="both"/>
              <w:rPr>
                <w:rFonts w:cs="Arial"/>
              </w:rPr>
            </w:pPr>
            <w:r>
              <w:rPr>
                <w:rFonts w:cs="Arial"/>
              </w:rPr>
              <w:t>Les événements de mobilisation prévus sur les territoires ont été discutés lors du tour de table. Pour la ville de Gatineau, une présentation est prévue à la Commission ville en santé le 2</w:t>
            </w:r>
            <w:r w:rsidR="00753CDD">
              <w:rPr>
                <w:rFonts w:cs="Arial"/>
              </w:rPr>
              <w:t>1</w:t>
            </w:r>
            <w:r>
              <w:rPr>
                <w:rFonts w:cs="Arial"/>
              </w:rPr>
              <w:t xml:space="preserve"> juin pour l’adhésion à un événement qui serait porté conjointement par cette instance et </w:t>
            </w:r>
            <w:proofErr w:type="spellStart"/>
            <w:r>
              <w:rPr>
                <w:rFonts w:cs="Arial"/>
              </w:rPr>
              <w:t>ConcertAction</w:t>
            </w:r>
            <w:proofErr w:type="spellEnd"/>
            <w:r>
              <w:rPr>
                <w:rFonts w:cs="Arial"/>
              </w:rPr>
              <w:t>. La Concertation SHV serait en soutien.</w:t>
            </w:r>
          </w:p>
          <w:p w:rsidR="00F712DC" w:rsidRPr="00F712DC" w:rsidRDefault="00F712DC" w:rsidP="00753CDD">
            <w:pPr>
              <w:spacing w:before="240"/>
              <w:jc w:val="both"/>
              <w:rPr>
                <w:rFonts w:cs="Arial"/>
              </w:rPr>
            </w:pPr>
            <w:r>
              <w:rPr>
                <w:rFonts w:cs="Arial"/>
              </w:rPr>
              <w:t xml:space="preserve">Une proposition de critères pour le soutien financier municipal accordé </w:t>
            </w:r>
            <w:r>
              <w:rPr>
                <w:rFonts w:cs="Arial"/>
              </w:rPr>
              <w:lastRenderedPageBreak/>
              <w:t>aux initiatives concertées découlant des activités de mobilisation a été discuté</w:t>
            </w:r>
            <w:r w:rsidR="0069250B">
              <w:rPr>
                <w:rFonts w:cs="Arial"/>
              </w:rPr>
              <w:t>e</w:t>
            </w:r>
            <w:r>
              <w:rPr>
                <w:rFonts w:cs="Arial"/>
              </w:rPr>
              <w:t xml:space="preserve"> avec les membres.      </w:t>
            </w:r>
          </w:p>
          <w:p w:rsidR="00FC239A" w:rsidRDefault="00FC239A" w:rsidP="00753CDD">
            <w:pPr>
              <w:pStyle w:val="Paragraphedeliste"/>
              <w:ind w:left="0"/>
              <w:jc w:val="both"/>
            </w:pPr>
          </w:p>
          <w:p w:rsidR="001C6CDE" w:rsidRDefault="0069250B" w:rsidP="00753CDD">
            <w:pPr>
              <w:pStyle w:val="Paragraphedeliste"/>
              <w:ind w:left="0"/>
              <w:jc w:val="both"/>
            </w:pPr>
            <w:r>
              <w:t>Des enjeux sont soulevés concernant le maintien des jardins communautaires et l’expertise nécessaire pour assurer leur pérennité. Des liens seront faits par les coordonnateurs des RLP suite à la formation sur le jardinage prévue ce printemps afin d’identifier un organisme pour soutenir.</w:t>
            </w:r>
          </w:p>
          <w:p w:rsidR="001C6CDE" w:rsidRPr="00FC239A" w:rsidRDefault="001C6CDE" w:rsidP="00753CDD">
            <w:pPr>
              <w:pStyle w:val="Paragraphedeliste"/>
              <w:ind w:left="0"/>
              <w:jc w:val="both"/>
            </w:pPr>
          </w:p>
        </w:tc>
        <w:tc>
          <w:tcPr>
            <w:tcW w:w="3275" w:type="dxa"/>
          </w:tcPr>
          <w:p w:rsidR="00BA1D8F" w:rsidRDefault="00BA1D8F" w:rsidP="00753CDD">
            <w:pPr>
              <w:jc w:val="both"/>
            </w:pPr>
          </w:p>
          <w:p w:rsidR="00F712DC" w:rsidRDefault="00F712DC" w:rsidP="00753CDD">
            <w:pPr>
              <w:jc w:val="both"/>
            </w:pPr>
          </w:p>
          <w:p w:rsidR="00F712DC" w:rsidRDefault="00F712DC" w:rsidP="00753CDD">
            <w:pPr>
              <w:jc w:val="both"/>
            </w:pPr>
          </w:p>
          <w:p w:rsidR="00F712DC" w:rsidRDefault="00F712DC" w:rsidP="00753CDD">
            <w:pPr>
              <w:jc w:val="both"/>
            </w:pPr>
          </w:p>
          <w:p w:rsidR="00F712DC" w:rsidRDefault="00F712DC" w:rsidP="00753CDD">
            <w:pPr>
              <w:jc w:val="both"/>
            </w:pPr>
          </w:p>
          <w:p w:rsidR="008E7C48" w:rsidRDefault="008E7C48" w:rsidP="00753CDD">
            <w:pPr>
              <w:jc w:val="both"/>
            </w:pPr>
          </w:p>
          <w:p w:rsidR="00F712DC" w:rsidRDefault="00F712DC" w:rsidP="00753CDD">
            <w:pPr>
              <w:jc w:val="both"/>
            </w:pPr>
            <w:r>
              <w:t>Un représentant du territoire de Gatineau sera invité à prendre part au comité.</w:t>
            </w:r>
          </w:p>
          <w:p w:rsidR="00F712DC" w:rsidRDefault="00F712DC" w:rsidP="00753CDD">
            <w:pPr>
              <w:jc w:val="both"/>
            </w:pPr>
          </w:p>
          <w:p w:rsidR="00F712DC" w:rsidRDefault="00F712DC" w:rsidP="00753CDD">
            <w:pPr>
              <w:jc w:val="both"/>
            </w:pPr>
          </w:p>
          <w:p w:rsidR="00F712DC" w:rsidRDefault="00F712DC" w:rsidP="00753CDD">
            <w:pPr>
              <w:jc w:val="both"/>
            </w:pPr>
          </w:p>
          <w:p w:rsidR="00F712DC" w:rsidRDefault="00F712DC" w:rsidP="00753CDD">
            <w:pPr>
              <w:jc w:val="both"/>
            </w:pPr>
          </w:p>
          <w:p w:rsidR="00F712DC" w:rsidRDefault="00F712DC" w:rsidP="00753CDD">
            <w:pPr>
              <w:jc w:val="both"/>
            </w:pPr>
          </w:p>
          <w:p w:rsidR="00F712DC" w:rsidRDefault="00F712DC" w:rsidP="00753CDD">
            <w:pPr>
              <w:jc w:val="both"/>
            </w:pPr>
          </w:p>
          <w:p w:rsidR="008E7C48" w:rsidRDefault="008E7C48" w:rsidP="00753CDD">
            <w:pPr>
              <w:jc w:val="both"/>
            </w:pPr>
          </w:p>
          <w:p w:rsidR="008E7C48" w:rsidRDefault="008E7C48" w:rsidP="00753CDD">
            <w:pPr>
              <w:jc w:val="both"/>
            </w:pPr>
          </w:p>
          <w:p w:rsidR="00F712DC" w:rsidRDefault="00F712DC" w:rsidP="00753CDD">
            <w:pPr>
              <w:jc w:val="both"/>
            </w:pPr>
            <w:r>
              <w:t>Apporter les modifications au document proposé et acheminer la version corrigée aux membres avant diffusion finale.</w:t>
            </w:r>
          </w:p>
          <w:p w:rsidR="00F712DC" w:rsidRDefault="00F712DC"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tc>
        <w:tc>
          <w:tcPr>
            <w:tcW w:w="3275" w:type="dxa"/>
          </w:tcPr>
          <w:p w:rsidR="00743CFF" w:rsidRDefault="00743CFF" w:rsidP="00753CDD">
            <w:pPr>
              <w:jc w:val="both"/>
            </w:pPr>
          </w:p>
          <w:p w:rsidR="00F712DC" w:rsidRDefault="00F712DC" w:rsidP="00753CDD">
            <w:pPr>
              <w:jc w:val="both"/>
            </w:pPr>
          </w:p>
          <w:p w:rsidR="00F712DC" w:rsidRDefault="00F712DC" w:rsidP="00753CDD">
            <w:pPr>
              <w:jc w:val="both"/>
            </w:pPr>
          </w:p>
          <w:p w:rsidR="00F712DC" w:rsidRDefault="00F712DC" w:rsidP="00753CDD">
            <w:pPr>
              <w:jc w:val="both"/>
            </w:pPr>
          </w:p>
          <w:p w:rsidR="00F712DC" w:rsidRDefault="00F712DC" w:rsidP="00753CDD">
            <w:pPr>
              <w:jc w:val="both"/>
            </w:pPr>
          </w:p>
          <w:p w:rsidR="008E7C48" w:rsidRDefault="008E7C48" w:rsidP="008E7C48"/>
          <w:p w:rsidR="00F712DC" w:rsidRDefault="00F712DC" w:rsidP="008E7C48">
            <w:r>
              <w:t xml:space="preserve">J. Charlebois vérifie auprès de </w:t>
            </w:r>
            <w:proofErr w:type="spellStart"/>
            <w:r>
              <w:t>ConcertAction</w:t>
            </w:r>
            <w:proofErr w:type="spellEnd"/>
            <w:r>
              <w:t xml:space="preserve"> pour une représentation au comité municipal.</w:t>
            </w:r>
          </w:p>
          <w:p w:rsidR="00F712DC" w:rsidRDefault="00F712DC" w:rsidP="00753CDD">
            <w:pPr>
              <w:jc w:val="both"/>
            </w:pPr>
          </w:p>
          <w:p w:rsidR="00F712DC" w:rsidRDefault="00F712DC" w:rsidP="00753CDD">
            <w:pPr>
              <w:jc w:val="both"/>
            </w:pPr>
          </w:p>
          <w:p w:rsidR="00F712DC" w:rsidRDefault="00F712DC" w:rsidP="00753CDD">
            <w:pPr>
              <w:jc w:val="both"/>
            </w:pPr>
          </w:p>
          <w:p w:rsidR="00F712DC" w:rsidRDefault="00F712DC" w:rsidP="00753CDD">
            <w:pPr>
              <w:jc w:val="both"/>
            </w:pPr>
          </w:p>
          <w:p w:rsidR="00F712DC" w:rsidRDefault="00F712DC" w:rsidP="00753CDD">
            <w:pPr>
              <w:jc w:val="both"/>
            </w:pPr>
          </w:p>
          <w:p w:rsidR="008E7C48" w:rsidRDefault="008E7C48" w:rsidP="00753CDD">
            <w:pPr>
              <w:jc w:val="both"/>
            </w:pPr>
          </w:p>
          <w:p w:rsidR="00F712DC" w:rsidRDefault="00F712DC" w:rsidP="00753CDD">
            <w:pPr>
              <w:jc w:val="both"/>
            </w:pPr>
            <w:r>
              <w:t>J. Charlebois</w:t>
            </w:r>
          </w:p>
          <w:p w:rsidR="00F712DC" w:rsidRDefault="00F712DC" w:rsidP="00753CDD">
            <w:pPr>
              <w:jc w:val="both"/>
            </w:pPr>
          </w:p>
        </w:tc>
        <w:tc>
          <w:tcPr>
            <w:tcW w:w="3275" w:type="dxa"/>
          </w:tcPr>
          <w:p w:rsidR="001D605B" w:rsidRDefault="001D605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8E7C48" w:rsidRDefault="008E7C48" w:rsidP="008E7C48"/>
          <w:p w:rsidR="0069250B" w:rsidRDefault="0069250B" w:rsidP="008E7C48">
            <w:r>
              <w:t>Avant la prochaine rencontre du comité</w:t>
            </w:r>
          </w:p>
          <w:p w:rsidR="0069250B" w:rsidRDefault="0069250B" w:rsidP="008E7C48"/>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69250B" w:rsidRDefault="0069250B" w:rsidP="00753CDD">
            <w:pPr>
              <w:jc w:val="both"/>
            </w:pPr>
          </w:p>
          <w:p w:rsidR="008E7C48" w:rsidRDefault="008E7C48" w:rsidP="00753CDD">
            <w:pPr>
              <w:jc w:val="both"/>
            </w:pPr>
          </w:p>
          <w:p w:rsidR="0069250B" w:rsidRDefault="0069250B" w:rsidP="00753CDD">
            <w:pPr>
              <w:jc w:val="both"/>
            </w:pPr>
            <w:r>
              <w:t>Fin mai</w:t>
            </w:r>
          </w:p>
          <w:p w:rsidR="0069250B" w:rsidRDefault="0069250B" w:rsidP="00753CDD">
            <w:pPr>
              <w:jc w:val="both"/>
            </w:pPr>
          </w:p>
        </w:tc>
      </w:tr>
      <w:tr w:rsidR="00E076F0" w:rsidTr="00BC070B">
        <w:trPr>
          <w:trHeight w:val="794"/>
        </w:trPr>
        <w:tc>
          <w:tcPr>
            <w:tcW w:w="4219" w:type="dxa"/>
          </w:tcPr>
          <w:p w:rsidR="001C6CDE" w:rsidRDefault="001C6CDE" w:rsidP="00753CDD">
            <w:pPr>
              <w:ind w:left="360" w:hanging="360"/>
              <w:jc w:val="both"/>
              <w:rPr>
                <w:rFonts w:cs="Arial"/>
                <w:b/>
              </w:rPr>
            </w:pPr>
            <w:r>
              <w:rPr>
                <w:b/>
              </w:rPr>
              <w:t>5.</w:t>
            </w:r>
            <w:r w:rsidR="00E076F0" w:rsidRPr="001C6CDE">
              <w:rPr>
                <w:b/>
              </w:rPr>
              <w:t xml:space="preserve"> </w:t>
            </w:r>
            <w:r w:rsidR="00B12FF2">
              <w:rPr>
                <w:b/>
              </w:rPr>
              <w:t>Panier</w:t>
            </w:r>
            <w:r w:rsidRPr="001C6CDE">
              <w:rPr>
                <w:rFonts w:cs="Arial"/>
                <w:b/>
              </w:rPr>
              <w:t xml:space="preserve"> de services </w:t>
            </w:r>
            <w:r w:rsidR="00B12FF2">
              <w:rPr>
                <w:rFonts w:cs="Arial"/>
                <w:b/>
              </w:rPr>
              <w:t xml:space="preserve">en soutien aux  </w:t>
            </w:r>
            <w:r w:rsidR="00753CDD">
              <w:rPr>
                <w:rFonts w:cs="Arial"/>
                <w:b/>
              </w:rPr>
              <w:t xml:space="preserve">  </w:t>
            </w:r>
            <w:r w:rsidR="00B12FF2">
              <w:rPr>
                <w:rFonts w:cs="Arial"/>
                <w:b/>
              </w:rPr>
              <w:t>municipalités</w:t>
            </w:r>
          </w:p>
          <w:p w:rsidR="00E076F0" w:rsidRPr="00E076F0" w:rsidRDefault="0069250B" w:rsidP="00EF3B64">
            <w:pPr>
              <w:jc w:val="both"/>
            </w:pPr>
            <w:r>
              <w:t xml:space="preserve">Une table des matières contenant des domaines d’intervention par catégorie est présentée à titre d’exemple d’un document qui colligerait les organismes régionaux en soutien aux municipalités pour la création d’environnements favorables à la santé et à la qualité de vie. </w:t>
            </w:r>
          </w:p>
        </w:tc>
        <w:tc>
          <w:tcPr>
            <w:tcW w:w="3275" w:type="dxa"/>
          </w:tcPr>
          <w:p w:rsidR="00E076F0" w:rsidRDefault="00E076F0" w:rsidP="00753CDD">
            <w:pPr>
              <w:jc w:val="both"/>
            </w:pPr>
          </w:p>
          <w:p w:rsidR="0069250B" w:rsidRDefault="0069250B" w:rsidP="00753CDD">
            <w:pPr>
              <w:jc w:val="both"/>
            </w:pPr>
          </w:p>
          <w:p w:rsidR="0069250B" w:rsidRDefault="0069250B" w:rsidP="00753CDD">
            <w:pPr>
              <w:jc w:val="both"/>
            </w:pPr>
            <w:r>
              <w:t>Les partenaires appuient la pertinence du document. On propose l’ajout de quelques organismes</w:t>
            </w:r>
            <w:r w:rsidR="00FC19D2">
              <w:t xml:space="preserve">, </w:t>
            </w:r>
            <w:r>
              <w:t xml:space="preserve">dont les Tables de développement social et Écolo nature.  </w:t>
            </w:r>
          </w:p>
        </w:tc>
        <w:tc>
          <w:tcPr>
            <w:tcW w:w="3275" w:type="dxa"/>
          </w:tcPr>
          <w:p w:rsidR="00B75C85" w:rsidRDefault="00B75C85" w:rsidP="00753CDD">
            <w:pPr>
              <w:jc w:val="both"/>
            </w:pPr>
          </w:p>
          <w:p w:rsidR="0069250B" w:rsidRDefault="0069250B" w:rsidP="00753CDD">
            <w:pPr>
              <w:jc w:val="both"/>
            </w:pPr>
          </w:p>
          <w:p w:rsidR="0069250B" w:rsidRDefault="0069250B" w:rsidP="00753CDD">
            <w:pPr>
              <w:jc w:val="both"/>
            </w:pPr>
            <w:r>
              <w:t>Lorsqu’il sera complété, J. Charlebois achemine</w:t>
            </w:r>
            <w:r w:rsidR="00EF3B64">
              <w:t>ra</w:t>
            </w:r>
            <w:r>
              <w:t xml:space="preserve"> le document pour révision par les membres. </w:t>
            </w:r>
          </w:p>
        </w:tc>
        <w:tc>
          <w:tcPr>
            <w:tcW w:w="3275" w:type="dxa"/>
          </w:tcPr>
          <w:p w:rsidR="00E076F0" w:rsidRDefault="00E076F0" w:rsidP="00753CDD">
            <w:pPr>
              <w:jc w:val="both"/>
            </w:pPr>
          </w:p>
          <w:p w:rsidR="0069250B" w:rsidRDefault="0069250B" w:rsidP="00753CDD">
            <w:pPr>
              <w:jc w:val="both"/>
            </w:pPr>
          </w:p>
          <w:p w:rsidR="0069250B" w:rsidRDefault="0069250B" w:rsidP="00753CDD">
            <w:pPr>
              <w:jc w:val="both"/>
            </w:pPr>
            <w:r>
              <w:t>Été 2018</w:t>
            </w:r>
          </w:p>
        </w:tc>
      </w:tr>
      <w:tr w:rsidR="005B6BBE" w:rsidTr="00E33B9F">
        <w:trPr>
          <w:trHeight w:val="794"/>
        </w:trPr>
        <w:tc>
          <w:tcPr>
            <w:tcW w:w="4219" w:type="dxa"/>
          </w:tcPr>
          <w:p w:rsidR="0069250B" w:rsidRDefault="00B12FF2" w:rsidP="00753CDD">
            <w:pPr>
              <w:ind w:left="450" w:hanging="450"/>
              <w:jc w:val="both"/>
              <w:rPr>
                <w:b/>
              </w:rPr>
            </w:pPr>
            <w:r w:rsidRPr="00B12FF2">
              <w:rPr>
                <w:b/>
              </w:rPr>
              <w:t xml:space="preserve">6. Prendre soin de notre monde : </w:t>
            </w:r>
            <w:r w:rsidR="0069250B">
              <w:rPr>
                <w:b/>
              </w:rPr>
              <w:t>P</w:t>
            </w:r>
            <w:r w:rsidRPr="00B12FF2">
              <w:rPr>
                <w:b/>
              </w:rPr>
              <w:t>résentation des indicateurs</w:t>
            </w:r>
            <w:r w:rsidR="00006E1C" w:rsidRPr="00B12FF2">
              <w:rPr>
                <w:b/>
              </w:rPr>
              <w:t xml:space="preserve"> </w:t>
            </w:r>
            <w:r w:rsidR="007C550D" w:rsidRPr="00B12FF2">
              <w:rPr>
                <w:b/>
              </w:rPr>
              <w:t xml:space="preserve">   </w:t>
            </w:r>
          </w:p>
          <w:p w:rsidR="0069250B" w:rsidRPr="0069250B" w:rsidRDefault="0069250B" w:rsidP="00EF3B64">
            <w:pPr>
              <w:jc w:val="both"/>
            </w:pPr>
            <w:r w:rsidRPr="0069250B">
              <w:t>Un comité de</w:t>
            </w:r>
            <w:r>
              <w:t xml:space="preserve"> travail </w:t>
            </w:r>
            <w:r w:rsidR="00AB661F">
              <w:t>réunissant les TIR-SHV</w:t>
            </w:r>
            <w:r w:rsidRPr="0069250B">
              <w:t xml:space="preserve"> </w:t>
            </w:r>
            <w:r>
              <w:t xml:space="preserve"> </w:t>
            </w:r>
            <w:r w:rsidR="00AB661F">
              <w:t>a travaillé à l’élaboration d’</w:t>
            </w:r>
            <w:r>
              <w:t>indicateurs</w:t>
            </w:r>
            <w:r w:rsidR="00AB661F">
              <w:t xml:space="preserve"> de suivi de Prendre soin de notre monde. Les indicateurs présentés permettent d’apprécier l’appropriation de la démarche par les régions. Ils ne sont pas en lien avec les résultats. Lorsque l’adoption finale sera complétée, la Concertation sera invitée à contribuer à l’appréciation régionale.   </w:t>
            </w:r>
          </w:p>
        </w:tc>
        <w:tc>
          <w:tcPr>
            <w:tcW w:w="3275" w:type="dxa"/>
          </w:tcPr>
          <w:p w:rsidR="005B6BBE" w:rsidRDefault="005B6BBE" w:rsidP="00753CDD">
            <w:pPr>
              <w:jc w:val="both"/>
            </w:pPr>
          </w:p>
          <w:p w:rsidR="00AB661F" w:rsidRDefault="00AB661F" w:rsidP="00753CDD">
            <w:pPr>
              <w:jc w:val="both"/>
            </w:pPr>
          </w:p>
          <w:p w:rsidR="00AB661F" w:rsidRDefault="00AB661F" w:rsidP="00753CDD">
            <w:pPr>
              <w:jc w:val="both"/>
            </w:pPr>
            <w:r>
              <w:t>En attente de la version finale des indicateurs.</w:t>
            </w:r>
          </w:p>
        </w:tc>
        <w:tc>
          <w:tcPr>
            <w:tcW w:w="3275" w:type="dxa"/>
          </w:tcPr>
          <w:p w:rsidR="005B6BBE" w:rsidRDefault="005B6BBE" w:rsidP="00753CDD">
            <w:pPr>
              <w:jc w:val="both"/>
            </w:pPr>
          </w:p>
          <w:p w:rsidR="00AB661F" w:rsidRDefault="00AB661F" w:rsidP="00753CDD">
            <w:pPr>
              <w:jc w:val="both"/>
            </w:pPr>
          </w:p>
          <w:p w:rsidR="00AB661F" w:rsidRDefault="00AB661F" w:rsidP="00753CDD">
            <w:pPr>
              <w:jc w:val="both"/>
            </w:pPr>
            <w:r>
              <w:t>J. Charlebois assure le suivi auprès des membres du comité.</w:t>
            </w:r>
          </w:p>
        </w:tc>
        <w:tc>
          <w:tcPr>
            <w:tcW w:w="3275" w:type="dxa"/>
          </w:tcPr>
          <w:p w:rsidR="005B6BBE" w:rsidRDefault="005B6BBE" w:rsidP="00753CDD">
            <w:pPr>
              <w:jc w:val="both"/>
            </w:pPr>
          </w:p>
        </w:tc>
      </w:tr>
      <w:tr w:rsidR="005B6BBE" w:rsidTr="00E33B9F">
        <w:trPr>
          <w:trHeight w:val="794"/>
        </w:trPr>
        <w:tc>
          <w:tcPr>
            <w:tcW w:w="4219" w:type="dxa"/>
          </w:tcPr>
          <w:p w:rsidR="00006E1C" w:rsidRDefault="00B12FF2" w:rsidP="00753CDD">
            <w:pPr>
              <w:jc w:val="both"/>
              <w:rPr>
                <w:b/>
              </w:rPr>
            </w:pPr>
            <w:r w:rsidRPr="00B12FF2">
              <w:rPr>
                <w:b/>
              </w:rPr>
              <w:lastRenderedPageBreak/>
              <w:t>7. Accompagnement des acteurs de soutien</w:t>
            </w:r>
          </w:p>
          <w:p w:rsidR="00AB661F" w:rsidRDefault="00AB661F" w:rsidP="00753CDD">
            <w:pPr>
              <w:jc w:val="both"/>
            </w:pPr>
            <w:r>
              <w:t xml:space="preserve">La Concertation et la DSPU ont participé à une formation pour les acteurs qui sont en </w:t>
            </w:r>
            <w:r w:rsidR="00753CDD">
              <w:t>soutien</w:t>
            </w:r>
            <w:r>
              <w:t xml:space="preserve"> aux municipalités pour la mise en place d’environnements favorables.</w:t>
            </w:r>
          </w:p>
          <w:p w:rsidR="00AB661F" w:rsidRDefault="00AB661F" w:rsidP="00753CDD">
            <w:pPr>
              <w:jc w:val="both"/>
            </w:pPr>
          </w:p>
          <w:p w:rsidR="00AB661F" w:rsidRPr="00AB661F" w:rsidRDefault="00AB661F" w:rsidP="00753CDD">
            <w:pPr>
              <w:jc w:val="both"/>
            </w:pPr>
            <w:r>
              <w:t xml:space="preserve">I. Girard, J. Charlebois et J. </w:t>
            </w:r>
            <w:proofErr w:type="spellStart"/>
            <w:r>
              <w:t>Lafrenière</w:t>
            </w:r>
            <w:proofErr w:type="spellEnd"/>
            <w:r>
              <w:t xml:space="preserve"> ont été formées. Six modules touchant le rôle de fonction</w:t>
            </w:r>
            <w:r w:rsidR="00FC19D2">
              <w:t>-</w:t>
            </w:r>
            <w:r>
              <w:t xml:space="preserve">conseil sont disponibles et pourront être offerts aux partenaires.    </w:t>
            </w:r>
          </w:p>
        </w:tc>
        <w:tc>
          <w:tcPr>
            <w:tcW w:w="3275" w:type="dxa"/>
          </w:tcPr>
          <w:p w:rsidR="005B6BBE" w:rsidRDefault="005B6BBE" w:rsidP="00753CDD">
            <w:pPr>
              <w:jc w:val="both"/>
            </w:pPr>
          </w:p>
          <w:p w:rsidR="00AB661F" w:rsidRDefault="00AB661F" w:rsidP="00753CDD">
            <w:pPr>
              <w:jc w:val="both"/>
            </w:pPr>
          </w:p>
          <w:p w:rsidR="00EF3B64" w:rsidRDefault="00EF3B64" w:rsidP="00753CDD">
            <w:pPr>
              <w:jc w:val="both"/>
            </w:pPr>
          </w:p>
          <w:p w:rsidR="00EF3B64" w:rsidRDefault="00EF3B64" w:rsidP="00753CDD">
            <w:pPr>
              <w:jc w:val="both"/>
            </w:pPr>
          </w:p>
          <w:p w:rsidR="00EF3B64" w:rsidRDefault="00EF3B64" w:rsidP="00753CDD">
            <w:pPr>
              <w:jc w:val="both"/>
            </w:pPr>
          </w:p>
          <w:p w:rsidR="00EF3B64" w:rsidRDefault="00EF3B64" w:rsidP="00753CDD">
            <w:pPr>
              <w:jc w:val="both"/>
            </w:pPr>
          </w:p>
          <w:p w:rsidR="00EF3B64" w:rsidRDefault="00EF3B64" w:rsidP="00753CDD">
            <w:pPr>
              <w:jc w:val="both"/>
            </w:pPr>
          </w:p>
          <w:p w:rsidR="00EF3B64" w:rsidRDefault="00EF3B64" w:rsidP="00753CDD">
            <w:pPr>
              <w:jc w:val="both"/>
            </w:pPr>
          </w:p>
          <w:p w:rsidR="00AB661F" w:rsidRDefault="00AB661F" w:rsidP="00753CDD">
            <w:pPr>
              <w:jc w:val="both"/>
            </w:pPr>
            <w:r>
              <w:t xml:space="preserve">Le contenu de formation pourra être présenté dans le cadre des rencontres du comité. </w:t>
            </w:r>
          </w:p>
        </w:tc>
        <w:tc>
          <w:tcPr>
            <w:tcW w:w="3275" w:type="dxa"/>
          </w:tcPr>
          <w:p w:rsidR="005B6BBE" w:rsidRDefault="005B6BBE" w:rsidP="00753CDD">
            <w:pPr>
              <w:jc w:val="both"/>
            </w:pPr>
          </w:p>
          <w:p w:rsidR="00753CDD" w:rsidRDefault="00753CDD" w:rsidP="00753CDD">
            <w:pPr>
              <w:jc w:val="both"/>
            </w:pPr>
          </w:p>
          <w:p w:rsidR="00EF3B64" w:rsidRDefault="00EF3B64" w:rsidP="00753CDD">
            <w:pPr>
              <w:jc w:val="both"/>
            </w:pPr>
          </w:p>
          <w:p w:rsidR="00EF3B64" w:rsidRDefault="00EF3B64" w:rsidP="00753CDD">
            <w:pPr>
              <w:jc w:val="both"/>
            </w:pPr>
          </w:p>
          <w:p w:rsidR="00EF3B64" w:rsidRDefault="00EF3B64" w:rsidP="00753CDD">
            <w:pPr>
              <w:jc w:val="both"/>
            </w:pPr>
          </w:p>
          <w:p w:rsidR="00EF3B64" w:rsidRDefault="00EF3B64" w:rsidP="00753CDD">
            <w:pPr>
              <w:jc w:val="both"/>
            </w:pPr>
          </w:p>
          <w:p w:rsidR="00EF3B64" w:rsidRDefault="00EF3B64" w:rsidP="00753CDD">
            <w:pPr>
              <w:jc w:val="both"/>
            </w:pPr>
          </w:p>
          <w:p w:rsidR="00EF3B64" w:rsidRDefault="00EF3B64" w:rsidP="00753CDD">
            <w:pPr>
              <w:jc w:val="both"/>
            </w:pPr>
          </w:p>
          <w:p w:rsidR="00753CDD" w:rsidRDefault="00753CDD" w:rsidP="00753CDD">
            <w:pPr>
              <w:jc w:val="both"/>
            </w:pPr>
            <w:r>
              <w:t>J. Charlebois</w:t>
            </w:r>
          </w:p>
        </w:tc>
        <w:tc>
          <w:tcPr>
            <w:tcW w:w="3275" w:type="dxa"/>
          </w:tcPr>
          <w:p w:rsidR="005B6BBE" w:rsidRDefault="005B6BBE" w:rsidP="00753CDD">
            <w:pPr>
              <w:jc w:val="both"/>
            </w:pPr>
          </w:p>
          <w:p w:rsidR="00753CDD" w:rsidRDefault="00753CDD" w:rsidP="00753CDD">
            <w:pPr>
              <w:jc w:val="both"/>
            </w:pPr>
          </w:p>
          <w:p w:rsidR="00EF3B64" w:rsidRDefault="00EF3B64" w:rsidP="00753CDD">
            <w:pPr>
              <w:jc w:val="both"/>
            </w:pPr>
          </w:p>
          <w:p w:rsidR="00EF3B64" w:rsidRDefault="00EF3B64" w:rsidP="00753CDD">
            <w:pPr>
              <w:jc w:val="both"/>
            </w:pPr>
          </w:p>
          <w:p w:rsidR="00EF3B64" w:rsidRDefault="00EF3B64" w:rsidP="00753CDD">
            <w:pPr>
              <w:jc w:val="both"/>
            </w:pPr>
          </w:p>
          <w:p w:rsidR="00EF3B64" w:rsidRDefault="00EF3B64" w:rsidP="00753CDD">
            <w:pPr>
              <w:jc w:val="both"/>
            </w:pPr>
          </w:p>
          <w:p w:rsidR="00EF3B64" w:rsidRDefault="00EF3B64" w:rsidP="00753CDD">
            <w:pPr>
              <w:jc w:val="both"/>
            </w:pPr>
          </w:p>
          <w:p w:rsidR="00EF3B64" w:rsidRDefault="00EF3B64" w:rsidP="00753CDD">
            <w:pPr>
              <w:jc w:val="both"/>
            </w:pPr>
          </w:p>
          <w:p w:rsidR="00753CDD" w:rsidRDefault="00753CDD" w:rsidP="00753CDD">
            <w:pPr>
              <w:jc w:val="both"/>
            </w:pPr>
            <w:r>
              <w:t>Automne 2018</w:t>
            </w:r>
          </w:p>
          <w:p w:rsidR="00753CDD" w:rsidRDefault="00753CDD" w:rsidP="00753CDD">
            <w:pPr>
              <w:jc w:val="both"/>
            </w:pPr>
          </w:p>
        </w:tc>
      </w:tr>
      <w:tr w:rsidR="005B6BBE" w:rsidTr="00E33B9F">
        <w:trPr>
          <w:trHeight w:val="794"/>
        </w:trPr>
        <w:tc>
          <w:tcPr>
            <w:tcW w:w="4219" w:type="dxa"/>
          </w:tcPr>
          <w:p w:rsidR="00FD47A8" w:rsidRDefault="009237EF" w:rsidP="00753CDD">
            <w:pPr>
              <w:jc w:val="both"/>
              <w:rPr>
                <w:b/>
              </w:rPr>
            </w:pPr>
            <w:r>
              <w:t xml:space="preserve"> </w:t>
            </w:r>
            <w:r w:rsidR="00B12FF2" w:rsidRPr="00AB661F">
              <w:rPr>
                <w:b/>
              </w:rPr>
              <w:t>Varia</w:t>
            </w:r>
          </w:p>
          <w:p w:rsidR="00B35155" w:rsidRDefault="00AB661F" w:rsidP="00753CDD">
            <w:pPr>
              <w:pStyle w:val="Paragraphedeliste"/>
              <w:numPr>
                <w:ilvl w:val="0"/>
                <w:numId w:val="9"/>
              </w:numPr>
              <w:ind w:left="180" w:hanging="720"/>
              <w:jc w:val="both"/>
            </w:pPr>
            <w:r>
              <w:t xml:space="preserve">Rappel de la rencontre </w:t>
            </w:r>
            <w:r w:rsidR="00B35155">
              <w:t>de la Concertation le 14 juin à 13</w:t>
            </w:r>
            <w:r w:rsidR="00EF3B64">
              <w:t> </w:t>
            </w:r>
            <w:r w:rsidR="00B35155">
              <w:t>h invitant tous les partenaires des comités de travail. À l’ordre du jour :</w:t>
            </w:r>
            <w:r>
              <w:t xml:space="preserve"> </w:t>
            </w:r>
          </w:p>
          <w:p w:rsidR="00AB661F" w:rsidRDefault="00B35155" w:rsidP="00753CDD">
            <w:pPr>
              <w:pStyle w:val="Paragraphedeliste"/>
              <w:ind w:left="90"/>
              <w:jc w:val="both"/>
            </w:pPr>
            <w:r>
              <w:t xml:space="preserve">   - B</w:t>
            </w:r>
            <w:r w:rsidR="00AB661F">
              <w:t>ilan</w:t>
            </w:r>
            <w:r>
              <w:t xml:space="preserve"> de l’an 1 du plan d’action</w:t>
            </w:r>
            <w:r w:rsidR="00EF3B64">
              <w:t>;</w:t>
            </w:r>
          </w:p>
          <w:p w:rsidR="00B35155" w:rsidRDefault="00753CDD" w:rsidP="008E7C48">
            <w:pPr>
              <w:pStyle w:val="Paragraphedeliste"/>
              <w:numPr>
                <w:ilvl w:val="0"/>
                <w:numId w:val="9"/>
              </w:numPr>
              <w:ind w:left="360" w:hanging="90"/>
              <w:jc w:val="both"/>
            </w:pPr>
            <w:r>
              <w:t xml:space="preserve"> </w:t>
            </w:r>
            <w:r w:rsidR="00B35155">
              <w:t>Perspectives d’avenir dans le contexte du plan d’action interministériel de la politique gouvernementale de prév</w:t>
            </w:r>
            <w:r w:rsidR="00EF3B64">
              <w:t>ention en santé;</w:t>
            </w:r>
          </w:p>
          <w:p w:rsidR="00B35155" w:rsidRDefault="00B35155" w:rsidP="008E7C48">
            <w:pPr>
              <w:pStyle w:val="Paragraphedeliste"/>
              <w:numPr>
                <w:ilvl w:val="0"/>
                <w:numId w:val="9"/>
              </w:numPr>
              <w:ind w:left="360" w:hanging="90"/>
              <w:jc w:val="both"/>
            </w:pPr>
            <w:r>
              <w:t>Proposition pour un réseau national des TIR-SHV</w:t>
            </w:r>
            <w:r w:rsidR="00EF3B64">
              <w:t>.</w:t>
            </w:r>
            <w:r>
              <w:t xml:space="preserve"> </w:t>
            </w:r>
          </w:p>
          <w:p w:rsidR="00B35155" w:rsidRPr="00AB661F" w:rsidRDefault="00B35155" w:rsidP="00753CDD">
            <w:pPr>
              <w:jc w:val="both"/>
            </w:pPr>
          </w:p>
        </w:tc>
        <w:tc>
          <w:tcPr>
            <w:tcW w:w="3275" w:type="dxa"/>
          </w:tcPr>
          <w:p w:rsidR="00EA215B" w:rsidRDefault="00EA215B" w:rsidP="00753CDD">
            <w:pPr>
              <w:jc w:val="both"/>
            </w:pPr>
          </w:p>
        </w:tc>
        <w:tc>
          <w:tcPr>
            <w:tcW w:w="3275" w:type="dxa"/>
          </w:tcPr>
          <w:p w:rsidR="00EA215B" w:rsidRDefault="00EA215B" w:rsidP="00753CDD">
            <w:pPr>
              <w:jc w:val="both"/>
            </w:pPr>
          </w:p>
        </w:tc>
        <w:tc>
          <w:tcPr>
            <w:tcW w:w="3275" w:type="dxa"/>
          </w:tcPr>
          <w:p w:rsidR="00EA215B" w:rsidRDefault="00EA215B" w:rsidP="00753CDD">
            <w:pPr>
              <w:jc w:val="both"/>
            </w:pPr>
          </w:p>
        </w:tc>
      </w:tr>
    </w:tbl>
    <w:p w:rsidR="00F3284D" w:rsidRPr="00AA25C5" w:rsidRDefault="00F3284D" w:rsidP="00753CDD">
      <w:pPr>
        <w:spacing w:after="0" w:line="240" w:lineRule="auto"/>
        <w:jc w:val="both"/>
      </w:pPr>
    </w:p>
    <w:sectPr w:rsidR="00F3284D" w:rsidRPr="00AA25C5" w:rsidSect="00165A21">
      <w:type w:val="continuous"/>
      <w:pgSz w:w="15840" w:h="12240" w:orient="landscape"/>
      <w:pgMar w:top="709" w:right="1080" w:bottom="56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6A" w:rsidRDefault="0069136A" w:rsidP="004C6835">
      <w:pPr>
        <w:spacing w:after="0" w:line="240" w:lineRule="auto"/>
      </w:pPr>
      <w:r>
        <w:separator/>
      </w:r>
    </w:p>
  </w:endnote>
  <w:endnote w:type="continuationSeparator" w:id="0">
    <w:p w:rsidR="0069136A" w:rsidRDefault="0069136A" w:rsidP="004C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35" w:rsidRDefault="004C68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35" w:rsidRDefault="004C68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35" w:rsidRDefault="004C68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6A" w:rsidRDefault="0069136A" w:rsidP="004C6835">
      <w:pPr>
        <w:spacing w:after="0" w:line="240" w:lineRule="auto"/>
      </w:pPr>
      <w:r>
        <w:separator/>
      </w:r>
    </w:p>
  </w:footnote>
  <w:footnote w:type="continuationSeparator" w:id="0">
    <w:p w:rsidR="0069136A" w:rsidRDefault="0069136A" w:rsidP="004C6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35" w:rsidRDefault="004C68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35" w:rsidRDefault="004C683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35" w:rsidRDefault="004C68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CF5"/>
    <w:multiLevelType w:val="hybridMultilevel"/>
    <w:tmpl w:val="3A6E0B36"/>
    <w:lvl w:ilvl="0" w:tplc="BBA059C4">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A4B3858"/>
    <w:multiLevelType w:val="hybridMultilevel"/>
    <w:tmpl w:val="868063AC"/>
    <w:lvl w:ilvl="0" w:tplc="BECA049A">
      <w:start w:val="10"/>
      <w:numFmt w:val="bullet"/>
      <w:lvlText w:val="-"/>
      <w:lvlJc w:val="left"/>
      <w:pPr>
        <w:ind w:left="869" w:hanging="360"/>
      </w:pPr>
      <w:rPr>
        <w:rFonts w:ascii="Calibri" w:eastAsiaTheme="minorHAnsi" w:hAnsi="Calibri" w:cstheme="minorBidi" w:hint="default"/>
      </w:rPr>
    </w:lvl>
    <w:lvl w:ilvl="1" w:tplc="0C0C0003" w:tentative="1">
      <w:start w:val="1"/>
      <w:numFmt w:val="bullet"/>
      <w:lvlText w:val="o"/>
      <w:lvlJc w:val="left"/>
      <w:pPr>
        <w:ind w:left="1589" w:hanging="360"/>
      </w:pPr>
      <w:rPr>
        <w:rFonts w:ascii="Courier New" w:hAnsi="Courier New" w:cs="Courier New" w:hint="default"/>
      </w:rPr>
    </w:lvl>
    <w:lvl w:ilvl="2" w:tplc="0C0C0005" w:tentative="1">
      <w:start w:val="1"/>
      <w:numFmt w:val="bullet"/>
      <w:lvlText w:val=""/>
      <w:lvlJc w:val="left"/>
      <w:pPr>
        <w:ind w:left="2309" w:hanging="360"/>
      </w:pPr>
      <w:rPr>
        <w:rFonts w:ascii="Wingdings" w:hAnsi="Wingdings" w:hint="default"/>
      </w:rPr>
    </w:lvl>
    <w:lvl w:ilvl="3" w:tplc="0C0C0001" w:tentative="1">
      <w:start w:val="1"/>
      <w:numFmt w:val="bullet"/>
      <w:lvlText w:val=""/>
      <w:lvlJc w:val="left"/>
      <w:pPr>
        <w:ind w:left="3029" w:hanging="360"/>
      </w:pPr>
      <w:rPr>
        <w:rFonts w:ascii="Symbol" w:hAnsi="Symbol" w:hint="default"/>
      </w:rPr>
    </w:lvl>
    <w:lvl w:ilvl="4" w:tplc="0C0C0003" w:tentative="1">
      <w:start w:val="1"/>
      <w:numFmt w:val="bullet"/>
      <w:lvlText w:val="o"/>
      <w:lvlJc w:val="left"/>
      <w:pPr>
        <w:ind w:left="3749" w:hanging="360"/>
      </w:pPr>
      <w:rPr>
        <w:rFonts w:ascii="Courier New" w:hAnsi="Courier New" w:cs="Courier New" w:hint="default"/>
      </w:rPr>
    </w:lvl>
    <w:lvl w:ilvl="5" w:tplc="0C0C0005" w:tentative="1">
      <w:start w:val="1"/>
      <w:numFmt w:val="bullet"/>
      <w:lvlText w:val=""/>
      <w:lvlJc w:val="left"/>
      <w:pPr>
        <w:ind w:left="4469" w:hanging="360"/>
      </w:pPr>
      <w:rPr>
        <w:rFonts w:ascii="Wingdings" w:hAnsi="Wingdings" w:hint="default"/>
      </w:rPr>
    </w:lvl>
    <w:lvl w:ilvl="6" w:tplc="0C0C0001" w:tentative="1">
      <w:start w:val="1"/>
      <w:numFmt w:val="bullet"/>
      <w:lvlText w:val=""/>
      <w:lvlJc w:val="left"/>
      <w:pPr>
        <w:ind w:left="5189" w:hanging="360"/>
      </w:pPr>
      <w:rPr>
        <w:rFonts w:ascii="Symbol" w:hAnsi="Symbol" w:hint="default"/>
      </w:rPr>
    </w:lvl>
    <w:lvl w:ilvl="7" w:tplc="0C0C0003" w:tentative="1">
      <w:start w:val="1"/>
      <w:numFmt w:val="bullet"/>
      <w:lvlText w:val="o"/>
      <w:lvlJc w:val="left"/>
      <w:pPr>
        <w:ind w:left="5909" w:hanging="360"/>
      </w:pPr>
      <w:rPr>
        <w:rFonts w:ascii="Courier New" w:hAnsi="Courier New" w:cs="Courier New" w:hint="default"/>
      </w:rPr>
    </w:lvl>
    <w:lvl w:ilvl="8" w:tplc="0C0C0005" w:tentative="1">
      <w:start w:val="1"/>
      <w:numFmt w:val="bullet"/>
      <w:lvlText w:val=""/>
      <w:lvlJc w:val="left"/>
      <w:pPr>
        <w:ind w:left="6629" w:hanging="360"/>
      </w:pPr>
      <w:rPr>
        <w:rFonts w:ascii="Wingdings" w:hAnsi="Wingdings" w:hint="default"/>
      </w:rPr>
    </w:lvl>
  </w:abstractNum>
  <w:abstractNum w:abstractNumId="2" w15:restartNumberingAfterBreak="0">
    <w:nsid w:val="32D55D6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575DA5"/>
    <w:multiLevelType w:val="hybridMultilevel"/>
    <w:tmpl w:val="24BE123E"/>
    <w:lvl w:ilvl="0" w:tplc="BECA049A">
      <w:start w:val="1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6A73B92"/>
    <w:multiLevelType w:val="hybridMultilevel"/>
    <w:tmpl w:val="A6B861DE"/>
    <w:lvl w:ilvl="0" w:tplc="AB127A9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8C14E2D"/>
    <w:multiLevelType w:val="hybridMultilevel"/>
    <w:tmpl w:val="ADF2912C"/>
    <w:lvl w:ilvl="0" w:tplc="BECA049A">
      <w:start w:val="1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37F71D3"/>
    <w:multiLevelType w:val="hybridMultilevel"/>
    <w:tmpl w:val="FDA2CE06"/>
    <w:lvl w:ilvl="0" w:tplc="00D4FD1E">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7E243D0"/>
    <w:multiLevelType w:val="hybridMultilevel"/>
    <w:tmpl w:val="B3CE69DC"/>
    <w:lvl w:ilvl="0" w:tplc="7EA03FAA">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11D6AC0"/>
    <w:multiLevelType w:val="hybridMultilevel"/>
    <w:tmpl w:val="9D0096A8"/>
    <w:lvl w:ilvl="0" w:tplc="7C60010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4651A6E"/>
    <w:multiLevelType w:val="hybridMultilevel"/>
    <w:tmpl w:val="E80A44AA"/>
    <w:lvl w:ilvl="0" w:tplc="FD1A8182">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CCF5AF9"/>
    <w:multiLevelType w:val="hybridMultilevel"/>
    <w:tmpl w:val="A6B608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
  </w:num>
  <w:num w:numId="4">
    <w:abstractNumId w:val="8"/>
  </w:num>
  <w:num w:numId="5">
    <w:abstractNumId w:val="6"/>
  </w:num>
  <w:num w:numId="6">
    <w:abstractNumId w:val="5"/>
  </w:num>
  <w:num w:numId="7">
    <w:abstractNumId w:val="0"/>
  </w:num>
  <w:num w:numId="8">
    <w:abstractNumId w:val="2"/>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DB"/>
    <w:rsid w:val="00006E1C"/>
    <w:rsid w:val="00020A1F"/>
    <w:rsid w:val="00022547"/>
    <w:rsid w:val="00077190"/>
    <w:rsid w:val="00097452"/>
    <w:rsid w:val="000E7EA3"/>
    <w:rsid w:val="00107F86"/>
    <w:rsid w:val="001230B1"/>
    <w:rsid w:val="00143F3C"/>
    <w:rsid w:val="00165A21"/>
    <w:rsid w:val="0019514D"/>
    <w:rsid w:val="001B5C98"/>
    <w:rsid w:val="001C6CDE"/>
    <w:rsid w:val="001D605B"/>
    <w:rsid w:val="001D7AE8"/>
    <w:rsid w:val="0025574D"/>
    <w:rsid w:val="002735BF"/>
    <w:rsid w:val="0029097F"/>
    <w:rsid w:val="002A49D0"/>
    <w:rsid w:val="002B2F45"/>
    <w:rsid w:val="002F7393"/>
    <w:rsid w:val="00313CCA"/>
    <w:rsid w:val="003A19FA"/>
    <w:rsid w:val="003F1857"/>
    <w:rsid w:val="0040729D"/>
    <w:rsid w:val="00421CF9"/>
    <w:rsid w:val="004424AA"/>
    <w:rsid w:val="0044644A"/>
    <w:rsid w:val="00480227"/>
    <w:rsid w:val="004C6835"/>
    <w:rsid w:val="004D27A2"/>
    <w:rsid w:val="004E5B97"/>
    <w:rsid w:val="004F70CA"/>
    <w:rsid w:val="0051742C"/>
    <w:rsid w:val="00526649"/>
    <w:rsid w:val="005316E1"/>
    <w:rsid w:val="005357D8"/>
    <w:rsid w:val="0057186B"/>
    <w:rsid w:val="00587C2F"/>
    <w:rsid w:val="0059371B"/>
    <w:rsid w:val="005A763E"/>
    <w:rsid w:val="005B471F"/>
    <w:rsid w:val="005B6BBE"/>
    <w:rsid w:val="005C4DDE"/>
    <w:rsid w:val="005E5B77"/>
    <w:rsid w:val="005F2E7A"/>
    <w:rsid w:val="005F7FB5"/>
    <w:rsid w:val="00671E02"/>
    <w:rsid w:val="00683171"/>
    <w:rsid w:val="006875D0"/>
    <w:rsid w:val="0069136A"/>
    <w:rsid w:val="0069250B"/>
    <w:rsid w:val="006B332F"/>
    <w:rsid w:val="006C0838"/>
    <w:rsid w:val="006C114B"/>
    <w:rsid w:val="007024F8"/>
    <w:rsid w:val="007068C2"/>
    <w:rsid w:val="00720F5F"/>
    <w:rsid w:val="00743CFF"/>
    <w:rsid w:val="00745B0E"/>
    <w:rsid w:val="00753CDD"/>
    <w:rsid w:val="007C550D"/>
    <w:rsid w:val="008152F0"/>
    <w:rsid w:val="00830C3B"/>
    <w:rsid w:val="0083102D"/>
    <w:rsid w:val="00853F35"/>
    <w:rsid w:val="00854C75"/>
    <w:rsid w:val="00867C68"/>
    <w:rsid w:val="00872681"/>
    <w:rsid w:val="00874876"/>
    <w:rsid w:val="0088558C"/>
    <w:rsid w:val="008A5C32"/>
    <w:rsid w:val="008A7B75"/>
    <w:rsid w:val="008C7ACE"/>
    <w:rsid w:val="008D3ECB"/>
    <w:rsid w:val="008E0D2E"/>
    <w:rsid w:val="008E7C48"/>
    <w:rsid w:val="00901B64"/>
    <w:rsid w:val="0091746E"/>
    <w:rsid w:val="009237EF"/>
    <w:rsid w:val="00945339"/>
    <w:rsid w:val="0096777D"/>
    <w:rsid w:val="009C2AC0"/>
    <w:rsid w:val="00A10DE3"/>
    <w:rsid w:val="00A42F7E"/>
    <w:rsid w:val="00A86AFE"/>
    <w:rsid w:val="00A9136B"/>
    <w:rsid w:val="00AA25C5"/>
    <w:rsid w:val="00AB661F"/>
    <w:rsid w:val="00AE697E"/>
    <w:rsid w:val="00B12FF2"/>
    <w:rsid w:val="00B35155"/>
    <w:rsid w:val="00B535D5"/>
    <w:rsid w:val="00B6265B"/>
    <w:rsid w:val="00B75C85"/>
    <w:rsid w:val="00B801B3"/>
    <w:rsid w:val="00BA1D8F"/>
    <w:rsid w:val="00BC24BE"/>
    <w:rsid w:val="00C11B09"/>
    <w:rsid w:val="00C17258"/>
    <w:rsid w:val="00C95DBF"/>
    <w:rsid w:val="00CD6E41"/>
    <w:rsid w:val="00CE7DDB"/>
    <w:rsid w:val="00CF1D49"/>
    <w:rsid w:val="00CF5E83"/>
    <w:rsid w:val="00D91D61"/>
    <w:rsid w:val="00DD6650"/>
    <w:rsid w:val="00DF711C"/>
    <w:rsid w:val="00E076F0"/>
    <w:rsid w:val="00E22BC6"/>
    <w:rsid w:val="00E46164"/>
    <w:rsid w:val="00E516DE"/>
    <w:rsid w:val="00E67F36"/>
    <w:rsid w:val="00E96908"/>
    <w:rsid w:val="00EA215B"/>
    <w:rsid w:val="00EA3DFB"/>
    <w:rsid w:val="00ED3555"/>
    <w:rsid w:val="00EF3B64"/>
    <w:rsid w:val="00F0190B"/>
    <w:rsid w:val="00F20218"/>
    <w:rsid w:val="00F3284D"/>
    <w:rsid w:val="00F37558"/>
    <w:rsid w:val="00F70693"/>
    <w:rsid w:val="00F712DC"/>
    <w:rsid w:val="00FA4133"/>
    <w:rsid w:val="00FA557B"/>
    <w:rsid w:val="00FB1933"/>
    <w:rsid w:val="00FC19D2"/>
    <w:rsid w:val="00FC239A"/>
    <w:rsid w:val="00FD389F"/>
    <w:rsid w:val="00FD47A8"/>
    <w:rsid w:val="00FE44BF"/>
    <w:rsid w:val="00FF4C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CE1C6-7AA1-4A58-BC5E-A2A4BFC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E7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E7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E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CE7D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E7DDB"/>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CE7DD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E7DDB"/>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E969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6908"/>
    <w:rPr>
      <w:rFonts w:ascii="Tahoma" w:hAnsi="Tahoma" w:cs="Tahoma"/>
      <w:sz w:val="16"/>
      <w:szCs w:val="16"/>
    </w:rPr>
  </w:style>
  <w:style w:type="paragraph" w:styleId="Paragraphedeliste">
    <w:name w:val="List Paragraph"/>
    <w:basedOn w:val="Normal"/>
    <w:uiPriority w:val="34"/>
    <w:qFormat/>
    <w:rsid w:val="00CF1D49"/>
    <w:pPr>
      <w:ind w:left="720"/>
      <w:contextualSpacing/>
    </w:pPr>
  </w:style>
  <w:style w:type="paragraph" w:styleId="En-tte">
    <w:name w:val="header"/>
    <w:basedOn w:val="Normal"/>
    <w:link w:val="En-tteCar"/>
    <w:uiPriority w:val="99"/>
    <w:unhideWhenUsed/>
    <w:rsid w:val="004C6835"/>
    <w:pPr>
      <w:tabs>
        <w:tab w:val="center" w:pos="4320"/>
        <w:tab w:val="right" w:pos="8640"/>
      </w:tabs>
      <w:spacing w:after="0" w:line="240" w:lineRule="auto"/>
    </w:pPr>
  </w:style>
  <w:style w:type="character" w:customStyle="1" w:styleId="En-tteCar">
    <w:name w:val="En-tête Car"/>
    <w:basedOn w:val="Policepardfaut"/>
    <w:link w:val="En-tte"/>
    <w:uiPriority w:val="99"/>
    <w:rsid w:val="004C6835"/>
  </w:style>
  <w:style w:type="paragraph" w:styleId="Pieddepage">
    <w:name w:val="footer"/>
    <w:basedOn w:val="Normal"/>
    <w:link w:val="PieddepageCar"/>
    <w:uiPriority w:val="99"/>
    <w:unhideWhenUsed/>
    <w:rsid w:val="004C683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6835"/>
  </w:style>
  <w:style w:type="character" w:styleId="Lienhypertexte">
    <w:name w:val="Hyperlink"/>
    <w:basedOn w:val="Policepardfaut"/>
    <w:uiPriority w:val="99"/>
    <w:unhideWhenUsed/>
    <w:rsid w:val="00EF3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mamot.gouv.qc.ca/developpement-territorial/programmes/fonds-dappui-au-rayonnement-des-regions-farr/gestion-regionale-du-program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6306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Agence de santé et des services sociaux Outaouais</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Girard</dc:creator>
  <cp:lastModifiedBy>Anne-Marie DesRoches</cp:lastModifiedBy>
  <cp:revision>2</cp:revision>
  <cp:lastPrinted>2017-10-27T13:40:00Z</cp:lastPrinted>
  <dcterms:created xsi:type="dcterms:W3CDTF">2018-07-03T10:38:00Z</dcterms:created>
  <dcterms:modified xsi:type="dcterms:W3CDTF">2018-07-03T10:38:00Z</dcterms:modified>
</cp:coreProperties>
</file>