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12" w:rsidRDefault="00F35F12"/>
    <w:p w:rsidR="00807AF0" w:rsidRDefault="00807AF0"/>
    <w:p w:rsidR="00807AF0" w:rsidRDefault="00807AF0" w:rsidP="00807AF0">
      <w:pPr>
        <w:pStyle w:val="Titre"/>
      </w:pPr>
      <w:r>
        <w:t>Des villages nourriciers</w:t>
      </w:r>
      <w:r w:rsidR="003850D8">
        <w:t xml:space="preserve"> dans Papineau</w:t>
      </w:r>
    </w:p>
    <w:p w:rsidR="003850D8" w:rsidRPr="003850D8" w:rsidRDefault="008642A3" w:rsidP="00807AF0">
      <w:pPr>
        <w:rPr>
          <w:rStyle w:val="lev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2619375</wp:posOffset>
            </wp:positionH>
            <wp:positionV relativeFrom="paragraph">
              <wp:posOffset>6985</wp:posOffset>
            </wp:positionV>
            <wp:extent cx="2790825" cy="2240915"/>
            <wp:effectExtent l="0" t="0" r="9525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bresnourricie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0D8" w:rsidRPr="003850D8">
        <w:rPr>
          <w:rStyle w:val="lev"/>
        </w:rPr>
        <w:t>Aux arbres citoyens</w:t>
      </w:r>
    </w:p>
    <w:p w:rsidR="00807AF0" w:rsidRDefault="00807AF0" w:rsidP="00807AF0">
      <w:r>
        <w:t xml:space="preserve">On parle de plus en plus d’autonomie alimentaire. </w:t>
      </w:r>
      <w:r w:rsidR="003850D8">
        <w:t xml:space="preserve">En 2013, des citoyens de la MRC de Papineau ont comme projet d’atteindre lentement mais sûrement, une certaine forme d’autonomie alimentaire.  Ils font donc une demande au </w:t>
      </w:r>
      <w:hyperlink r:id="rId5" w:history="1">
        <w:r w:rsidR="003850D8" w:rsidRPr="003850D8">
          <w:rPr>
            <w:rStyle w:val="Lienhypertexte"/>
          </w:rPr>
          <w:t>programme d’arbres comestibles</w:t>
        </w:r>
      </w:hyperlink>
      <w:r w:rsidR="003850D8">
        <w:t xml:space="preserve"> d’Arbres Canada pour planter 180 arbres fruitiers dans quelques villages de la MRC.</w:t>
      </w:r>
    </w:p>
    <w:p w:rsidR="003850D8" w:rsidRPr="00336986" w:rsidRDefault="008642A3" w:rsidP="00336986">
      <w:pPr>
        <w:rPr>
          <w:rFonts w:ascii="Arial" w:hAnsi="Arial" w:cs="Arial"/>
          <w:color w:val="FFFFFF"/>
          <w:sz w:val="18"/>
          <w:szCs w:val="18"/>
        </w:rPr>
      </w:pPr>
      <w:r>
        <w:rPr>
          <w:noProof/>
          <w:lang w:eastAsia="fr-CA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526296F0" wp14:editId="2B4562F6">
                <wp:simplePos x="0" y="0"/>
                <wp:positionH relativeFrom="margin">
                  <wp:align>left</wp:align>
                </wp:positionH>
                <wp:positionV relativeFrom="margin">
                  <wp:posOffset>4081780</wp:posOffset>
                </wp:positionV>
                <wp:extent cx="2536825" cy="2606040"/>
                <wp:effectExtent l="3493" t="0" r="317" b="318"/>
                <wp:wrapSquare wrapText="bothSides"/>
                <wp:docPr id="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3682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9E0085" w:rsidRPr="009E0085" w:rsidRDefault="009E0085" w:rsidP="009E008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E008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Les arbres, il faut s’en occuper. Certaines autres régions ont eu un peu plus de difficulté à implanter des villages avec des arbres fruitiers. Il faut donc s’assurer d’avoir </w:t>
                            </w:r>
                            <w:proofErr w:type="gramStart"/>
                            <w:r w:rsidRPr="009E008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des bénévoles bien engagés</w:t>
                            </w:r>
                            <w:proofErr w:type="gramEnd"/>
                            <w:r w:rsidRPr="009E008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et un organisme qui exerce le suivi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296F0" id="Forme automatique 2" o:spid="_x0000_s1026" style="position:absolute;margin-left:0;margin-top:321.4pt;width:199.75pt;height:205.2pt;rotation:90;z-index:25166131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" o:allowincell="f" fillcolor="#ddd [3204]" stroked="f">
                <v:textbox>
                  <w:txbxContent>
                    <w:p w:rsidR="009E0085" w:rsidRPr="009E0085" w:rsidRDefault="009E0085" w:rsidP="009E008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  <w:r w:rsidRPr="009E008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Les arbres, il faut s’en occuper. Certaines autres régions ont eu un peu plus de difficulté à implanter des villages avec des arbres fruitiers. Il faut donc s’assurer d’avoir </w:t>
                      </w:r>
                      <w:proofErr w:type="gramStart"/>
                      <w:r w:rsidRPr="009E0085">
                        <w:rPr>
                          <w:b/>
                          <w:color w:val="C00000"/>
                          <w:sz w:val="24"/>
                          <w:szCs w:val="24"/>
                        </w:rPr>
                        <w:t>des bénévoles bien engagés</w:t>
                      </w:r>
                      <w:proofErr w:type="gramEnd"/>
                      <w:r w:rsidRPr="009E008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et un organisme qui exerce le suivi du projet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850D8">
        <w:t>L’Alliance alimentaire de Papineau a soutenu les citoyens en publiant un guide de parrainage, en offrant des formations et en cartographiant les arbres fruitiers de la région.  D’ailleurs, quelques orphelins se cherchent encore des parrains</w:t>
      </w:r>
      <w:r w:rsidR="00336986">
        <w:t xml:space="preserve"> à </w:t>
      </w:r>
      <w:proofErr w:type="spellStart"/>
      <w:r w:rsidR="00336986">
        <w:t>Papineauville</w:t>
      </w:r>
      <w:proofErr w:type="spellEnd"/>
      <w:r w:rsidR="00336986">
        <w:t>, au Lac-Simon, à Ripon et à St-André-</w:t>
      </w:r>
      <w:proofErr w:type="spellStart"/>
      <w:r w:rsidR="00336986">
        <w:t>Avellin</w:t>
      </w:r>
      <w:proofErr w:type="spellEnd"/>
      <w:r w:rsidR="00336986">
        <w:t>.</w:t>
      </w:r>
    </w:p>
    <w:p w:rsidR="003850D8" w:rsidRPr="003850D8" w:rsidRDefault="003850D8" w:rsidP="003850D8">
      <w:pPr>
        <w:pStyle w:val="Sansinterligne"/>
        <w:rPr>
          <w:rStyle w:val="lev"/>
        </w:rPr>
      </w:pPr>
      <w:r w:rsidRPr="003850D8">
        <w:rPr>
          <w:rStyle w:val="lev"/>
        </w:rPr>
        <w:t>Et puis, est-ce que ce projet porte fruit?</w:t>
      </w:r>
    </w:p>
    <w:p w:rsidR="0067691B" w:rsidRDefault="0067691B" w:rsidP="00807AF0"/>
    <w:p w:rsidR="003850D8" w:rsidRDefault="003850D8" w:rsidP="00807AF0">
      <w:r>
        <w:t>On peut parfois cueillir une prune ou deux, mais les arbres sont encore jeunes. Dans 5 ou 6 ans, si tout va bien, on verra ce que l’on pourra faire avec le fruit des labeurs des parrains.</w:t>
      </w:r>
    </w:p>
    <w:p w:rsidR="009E0085" w:rsidRDefault="009E0085" w:rsidP="009E0085">
      <w:r>
        <w:t>.</w:t>
      </w:r>
    </w:p>
    <w:p w:rsidR="00336986" w:rsidRPr="00336986" w:rsidRDefault="00336986" w:rsidP="00807AF0">
      <w:pPr>
        <w:rPr>
          <w:rStyle w:val="lev"/>
        </w:rPr>
      </w:pPr>
      <w:r w:rsidRPr="00336986">
        <w:rPr>
          <w:rStyle w:val="lev"/>
        </w:rPr>
        <w:t>La communauté semencière</w:t>
      </w:r>
    </w:p>
    <w:p w:rsidR="00415239" w:rsidRDefault="0067691B" w:rsidP="00807AF0">
      <w:r>
        <w:t xml:space="preserve">Le but d’une communauté semencière est que les gens produisent leurs propres semences pour les mettre en commun. </w:t>
      </w:r>
      <w:r w:rsidR="00415239">
        <w:t xml:space="preserve">Avec la communauté semencière, on espère créer une banque de semences adaptées au climat du territoire de la Petite Nation. </w:t>
      </w:r>
    </w:p>
    <w:p w:rsidR="00FE6F7F" w:rsidRDefault="008642A3" w:rsidP="00807AF0">
      <w:r>
        <w:rPr>
          <w:noProof/>
          <w:lang w:eastAsia="fr-C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87600" cy="17907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_DanielBrisebois_Semenci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239">
        <w:t xml:space="preserve"> </w:t>
      </w:r>
      <w:r w:rsidR="00451687">
        <w:t>« </w:t>
      </w:r>
      <w:r w:rsidR="00415239">
        <w:t>L’Alliance tente de développer un regroupement de personnes qui récolteront des semences et les mettrons à la disposition de la communauté,</w:t>
      </w:r>
      <w:r w:rsidR="00451687">
        <w:t> »</w:t>
      </w:r>
      <w:r w:rsidR="00415239">
        <w:t xml:space="preserve"> de dire Luce-Maude </w:t>
      </w:r>
      <w:proofErr w:type="spellStart"/>
      <w:r w:rsidR="00415239">
        <w:t>Boily</w:t>
      </w:r>
      <w:proofErr w:type="spellEnd"/>
      <w:r w:rsidR="00FE6F7F">
        <w:t xml:space="preserve"> </w:t>
      </w:r>
      <w:proofErr w:type="spellStart"/>
      <w:r w:rsidR="00FE6F7F">
        <w:t>Minville</w:t>
      </w:r>
      <w:proofErr w:type="spellEnd"/>
      <w:r w:rsidR="00C0779F">
        <w:t>.</w:t>
      </w:r>
      <w:r w:rsidR="00FE6F7F">
        <w:t xml:space="preserve"> Il y a deux ans, l’Alliance a d’ailleurs organisé un atelier pratique sur la production et la conservation des semences; atelier intitulé « L’Autonomie alimentaire ça part de la graine…jusqu’à l’assiette. »</w:t>
      </w:r>
    </w:p>
    <w:p w:rsidR="0067691B" w:rsidRDefault="008642A3" w:rsidP="0067691B">
      <w:hyperlink r:id="rId7" w:history="1">
        <w:r w:rsidR="0067691B" w:rsidRPr="0067691B">
          <w:rPr>
            <w:rStyle w:val="Lienhypertexte"/>
          </w:rPr>
          <w:t>L’alliance alimentaire de Papineauville</w:t>
        </w:r>
      </w:hyperlink>
      <w:r w:rsidR="0067691B">
        <w:t xml:space="preserve"> a toujours des projets plein la t</w:t>
      </w:r>
      <w:r w:rsidR="00FE6F7F">
        <w:t>ête;</w:t>
      </w:r>
      <w:r w:rsidR="0067691B">
        <w:t xml:space="preserve"> c’est pourquoi nous vous invitons à visiter leur site Web et </w:t>
      </w:r>
      <w:r w:rsidR="00FE6F7F">
        <w:t>à</w:t>
      </w:r>
      <w:r w:rsidR="0067691B">
        <w:t xml:space="preserve"> contacter les organisateurs pour avoir des détails et des façons de faire. Ils vous donneront sûrement des trucs.</w:t>
      </w:r>
      <w:r w:rsidR="00FE6F7F">
        <w:t xml:space="preserve">  Contactez-les à </w:t>
      </w:r>
      <w:r w:rsidR="00FE6F7F">
        <w:rPr>
          <w:rFonts w:ascii="Arial" w:hAnsi="Arial" w:cs="Arial"/>
          <w:color w:val="555555"/>
          <w:sz w:val="19"/>
          <w:szCs w:val="19"/>
          <w:shd w:val="clear" w:color="auto" w:fill="FFFFFF"/>
        </w:rPr>
        <w:t>villagesnourriciers.aap@gmail.com</w:t>
      </w:r>
    </w:p>
    <w:p w:rsidR="00FE6F7F" w:rsidRDefault="00FE6F7F" w:rsidP="00FE6F7F">
      <w:r>
        <w:t>Elle offre aussi une panoplie de formatio</w:t>
      </w:r>
      <w:bookmarkStart w:id="0" w:name="_GoBack"/>
      <w:bookmarkEnd w:id="0"/>
      <w:r>
        <w:t xml:space="preserve">ns de toutes sortes qui permettent de soutenir les jardiniers amateurs et avertis. </w:t>
      </w:r>
    </w:p>
    <w:p w:rsidR="00FE6F7F" w:rsidRDefault="00FE6F7F" w:rsidP="00FE6F7F"/>
    <w:p w:rsidR="00FE6F7F" w:rsidRDefault="00FE6F7F" w:rsidP="0067691B"/>
    <w:p w:rsidR="00FE6F7F" w:rsidRDefault="00FE6F7F" w:rsidP="0067691B"/>
    <w:p w:rsidR="00C0779F" w:rsidRDefault="00C0779F" w:rsidP="0067691B"/>
    <w:p w:rsidR="0067691B" w:rsidRPr="003850D8" w:rsidRDefault="0067691B" w:rsidP="00807AF0"/>
    <w:sectPr w:rsidR="0067691B" w:rsidRPr="003850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0"/>
    <w:rsid w:val="00114310"/>
    <w:rsid w:val="00114A37"/>
    <w:rsid w:val="00331D8B"/>
    <w:rsid w:val="00336986"/>
    <w:rsid w:val="003850D8"/>
    <w:rsid w:val="00415239"/>
    <w:rsid w:val="00451687"/>
    <w:rsid w:val="005E06B7"/>
    <w:rsid w:val="00620373"/>
    <w:rsid w:val="0067691B"/>
    <w:rsid w:val="00807AF0"/>
    <w:rsid w:val="008326CE"/>
    <w:rsid w:val="008642A3"/>
    <w:rsid w:val="009E0085"/>
    <w:rsid w:val="00C0779F"/>
    <w:rsid w:val="00E47154"/>
    <w:rsid w:val="00E5381A"/>
    <w:rsid w:val="00F35F12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74565-8EFC-4A97-AD79-061A6767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6B7"/>
    <w:rPr>
      <w:rFonts w:ascii="Century Gothic" w:hAnsi="Century Gothic"/>
    </w:rPr>
  </w:style>
  <w:style w:type="paragraph" w:styleId="Titre1">
    <w:name w:val="heading 1"/>
    <w:basedOn w:val="Normal"/>
    <w:next w:val="Normal"/>
    <w:link w:val="Titre1Car"/>
    <w:uiPriority w:val="9"/>
    <w:qFormat/>
    <w:rsid w:val="005E0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E0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E0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E06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6B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E06B7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E06B7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E06B7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E06B7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5E06B7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06B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06B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E06B7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5E06B7"/>
    <w:rPr>
      <w:b/>
      <w:bCs/>
    </w:rPr>
  </w:style>
  <w:style w:type="character" w:styleId="Accentuation">
    <w:name w:val="Emphasis"/>
    <w:basedOn w:val="Policepardfaut"/>
    <w:uiPriority w:val="20"/>
    <w:qFormat/>
    <w:rsid w:val="005E06B7"/>
    <w:rPr>
      <w:i/>
      <w:iCs/>
    </w:rPr>
  </w:style>
  <w:style w:type="paragraph" w:styleId="Sansinterligne">
    <w:name w:val="No Spacing"/>
    <w:link w:val="SansinterligneCar"/>
    <w:uiPriority w:val="1"/>
    <w:qFormat/>
    <w:rsid w:val="005E06B7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E06B7"/>
    <w:rPr>
      <w:rFonts w:eastAsiaTheme="minorEastAsia"/>
      <w:lang w:eastAsia="fr-CA"/>
    </w:rPr>
  </w:style>
  <w:style w:type="character" w:styleId="Emphaseple">
    <w:name w:val="Subtle Emphasis"/>
    <w:basedOn w:val="Policepardfaut"/>
    <w:uiPriority w:val="19"/>
    <w:qFormat/>
    <w:rsid w:val="005E06B7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5E06B7"/>
    <w:rPr>
      <w:i/>
      <w:iCs/>
      <w:color w:val="DDDDDD" w:themeColor="accent1"/>
    </w:rPr>
  </w:style>
  <w:style w:type="character" w:styleId="Lienhypertexte">
    <w:name w:val="Hyperlink"/>
    <w:basedOn w:val="Policepardfaut"/>
    <w:uiPriority w:val="99"/>
    <w:unhideWhenUsed/>
    <w:rsid w:val="003850D8"/>
    <w:rPr>
      <w:color w:val="5F5F5F" w:themeColor="hyperlink"/>
      <w:u w:val="single"/>
    </w:rPr>
  </w:style>
  <w:style w:type="character" w:customStyle="1" w:styleId="apple-converted-space">
    <w:name w:val="apple-converted-space"/>
    <w:basedOn w:val="Policepardfaut"/>
    <w:rsid w:val="0038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073">
          <w:marLeft w:val="75"/>
          <w:marRight w:val="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541">
          <w:marLeft w:val="75"/>
          <w:marRight w:val="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46">
          <w:marLeft w:val="75"/>
          <w:marRight w:val="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294">
          <w:marLeft w:val="75"/>
          <w:marRight w:val="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940">
          <w:marLeft w:val="75"/>
          <w:marRight w:val="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1116">
          <w:marLeft w:val="75"/>
          <w:marRight w:val="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917">
          <w:marLeft w:val="75"/>
          <w:marRight w:val="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38">
          <w:marLeft w:val="75"/>
          <w:marRight w:val="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848">
          <w:marLeft w:val="75"/>
          <w:marRight w:val="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322">
          <w:marLeft w:val="75"/>
          <w:marRight w:val="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liancealimentairepapineau.com/alliance_alimentaire_papineau_accueil_securite_alimentaire_petite-nation_outaouais.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treecanada.ca/fr/programmes/arbres-comestible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6462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DesRoches</dc:creator>
  <cp:keywords/>
  <dc:description/>
  <cp:lastModifiedBy>Anne-Marie DesRoches</cp:lastModifiedBy>
  <cp:revision>5</cp:revision>
  <dcterms:created xsi:type="dcterms:W3CDTF">2017-04-05T11:14:00Z</dcterms:created>
  <dcterms:modified xsi:type="dcterms:W3CDTF">2017-04-18T13:40:00Z</dcterms:modified>
</cp:coreProperties>
</file>